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CCBF5" w14:textId="111B3E80" w:rsidR="00D87317" w:rsidRDefault="00D87317" w:rsidP="00D87317">
      <w:pPr>
        <w:pStyle w:val="Heading1"/>
        <w:rPr>
          <w:lang w:val="en-US"/>
        </w:rPr>
      </w:pPr>
      <w:r w:rsidRPr="00D87317">
        <w:rPr>
          <w:lang w:val="en-US"/>
        </w:rPr>
        <w:t xml:space="preserve">Public-private entanglements </w:t>
      </w:r>
      <w:r>
        <w:rPr>
          <w:lang w:val="en-US"/>
        </w:rPr>
        <w:t>in</w:t>
      </w:r>
      <w:r w:rsidRPr="00D87317">
        <w:rPr>
          <w:lang w:val="en-US"/>
        </w:rPr>
        <w:t xml:space="preserve"> makin</w:t>
      </w:r>
      <w:r>
        <w:rPr>
          <w:lang w:val="en-US"/>
        </w:rPr>
        <w:t>g health data accessible</w:t>
      </w:r>
    </w:p>
    <w:p w14:paraId="6BDE354D" w14:textId="40BC405E" w:rsidR="00E852A9" w:rsidRPr="00E852A9" w:rsidRDefault="00E852A9" w:rsidP="00E852A9">
      <w:pPr>
        <w:pStyle w:val="Subtitle"/>
        <w:rPr>
          <w:lang w:val="en-US"/>
        </w:rPr>
      </w:pPr>
      <w:r w:rsidRPr="00E852A9">
        <w:rPr>
          <w:lang w:val="en-US"/>
        </w:rPr>
        <w:t>Prof. Heidrun Åm, Departme</w:t>
      </w:r>
      <w:r>
        <w:rPr>
          <w:lang w:val="en-US"/>
        </w:rPr>
        <w:t>nt of Sociology and Political Science, NTNU</w:t>
      </w:r>
      <w:r w:rsidRPr="00E852A9">
        <w:rPr>
          <w:lang w:val="en-US"/>
        </w:rPr>
        <w:t xml:space="preserve"> </w:t>
      </w:r>
      <w:hyperlink r:id="rId4" w:history="1">
        <w:r w:rsidRPr="00E852A9">
          <w:rPr>
            <w:rStyle w:val="Hyperlink"/>
            <w:lang w:val="en-US"/>
          </w:rPr>
          <w:t>heidrun.aam@ntnu.no</w:t>
        </w:r>
      </w:hyperlink>
      <w:r w:rsidRPr="00E852A9">
        <w:rPr>
          <w:lang w:val="en-US"/>
        </w:rPr>
        <w:t xml:space="preserve"> </w:t>
      </w:r>
    </w:p>
    <w:p w14:paraId="417CC199" w14:textId="569AFAB7" w:rsidR="00E852A9" w:rsidRPr="00E852A9" w:rsidRDefault="00E852A9" w:rsidP="00E852A9">
      <w:pPr>
        <w:rPr>
          <w:i/>
          <w:iCs/>
          <w:lang w:val="en-US"/>
        </w:rPr>
      </w:pPr>
      <w:r w:rsidRPr="00E852A9">
        <w:rPr>
          <w:i/>
          <w:iCs/>
          <w:lang w:val="en-US"/>
        </w:rPr>
        <w:t>Abstract</w:t>
      </w:r>
    </w:p>
    <w:p w14:paraId="7F118B15" w14:textId="343CE6F7" w:rsidR="00D87317" w:rsidRPr="00DF7E27" w:rsidRDefault="00D87317" w:rsidP="00DF7E27">
      <w:pPr>
        <w:spacing w:line="360" w:lineRule="auto"/>
        <w:jc w:val="both"/>
        <w:rPr>
          <w:rFonts w:eastAsia="Calibri" w:cstheme="minorHAnsi"/>
          <w:color w:val="000000" w:themeColor="text1"/>
          <w:lang w:val="en-US"/>
        </w:rPr>
      </w:pPr>
      <w:r w:rsidRPr="00DF7E27">
        <w:rPr>
          <w:rFonts w:cstheme="minorHAnsi"/>
          <w:lang w:val="en-US"/>
        </w:rPr>
        <w:t>In welfare states, p</w:t>
      </w:r>
      <w:r w:rsidRPr="00DF7E27">
        <w:rPr>
          <w:rFonts w:cstheme="minorHAnsi"/>
          <w:lang w:val="en-US"/>
        </w:rPr>
        <w:t xml:space="preserve">ublic health services collect data in </w:t>
      </w:r>
      <w:bookmarkStart w:id="0" w:name="_Int_HrNVMGGg"/>
      <w:r w:rsidRPr="00DF7E27">
        <w:rPr>
          <w:rFonts w:cstheme="minorHAnsi"/>
          <w:lang w:val="en-US"/>
        </w:rPr>
        <w:t>mass</w:t>
      </w:r>
      <w:bookmarkEnd w:id="0"/>
      <w:r w:rsidRPr="00DF7E27">
        <w:rPr>
          <w:rFonts w:cstheme="minorHAnsi"/>
          <w:lang w:val="en-US"/>
        </w:rPr>
        <w:t xml:space="preserve"> for governance purposes. For example, </w:t>
      </w:r>
      <w:r w:rsidRPr="00DF7E27">
        <w:rPr>
          <w:rFonts w:cstheme="minorHAnsi"/>
          <w:lang w:val="en-US"/>
        </w:rPr>
        <w:t xml:space="preserve">Norwegian </w:t>
      </w:r>
      <w:r w:rsidRPr="00DF7E27">
        <w:rPr>
          <w:rFonts w:cstheme="minorHAnsi"/>
          <w:lang w:val="en-US"/>
        </w:rPr>
        <w:t xml:space="preserve">health authorities created the </w:t>
      </w:r>
      <w:r w:rsidRPr="00DF7E27">
        <w:rPr>
          <w:rFonts w:eastAsia="Calibri" w:cstheme="minorHAnsi"/>
          <w:color w:val="000000" w:themeColor="text1"/>
          <w:lang w:val="en-US"/>
        </w:rPr>
        <w:t>‘National Patient Registry (NPR)’</w:t>
      </w:r>
      <w:r w:rsidRPr="00DF7E27">
        <w:rPr>
          <w:rFonts w:cstheme="minorHAnsi"/>
          <w:lang w:val="en-US"/>
        </w:rPr>
        <w:t xml:space="preserve"> </w:t>
      </w:r>
      <w:r w:rsidRPr="00DF7E27">
        <w:rPr>
          <w:rFonts w:eastAsia="Calibri" w:cstheme="minorHAnsi"/>
          <w:color w:val="000000" w:themeColor="text1"/>
          <w:lang w:val="en-US"/>
        </w:rPr>
        <w:t xml:space="preserve">in the </w:t>
      </w:r>
      <w:r w:rsidRPr="00DF7E27">
        <w:rPr>
          <w:rFonts w:eastAsia="Calibri" w:cstheme="minorHAnsi"/>
          <w:color w:val="000000" w:themeColor="text1"/>
          <w:lang w:val="en-US"/>
        </w:rPr>
        <w:t>19</w:t>
      </w:r>
      <w:r w:rsidRPr="00DF7E27">
        <w:rPr>
          <w:rFonts w:eastAsia="Calibri" w:cstheme="minorHAnsi"/>
          <w:color w:val="000000" w:themeColor="text1"/>
          <w:lang w:val="en-US"/>
        </w:rPr>
        <w:t xml:space="preserve">90ies because of a change in health sector governance towards activity-based financing which created the need for </w:t>
      </w:r>
      <w:r w:rsidRPr="00DF7E27">
        <w:rPr>
          <w:rFonts w:eastAsia="Calibri" w:cstheme="minorHAnsi"/>
          <w:color w:val="000000" w:themeColor="text1"/>
          <w:lang w:val="en-US"/>
        </w:rPr>
        <w:t xml:space="preserve">getting </w:t>
      </w:r>
      <w:r w:rsidRPr="00DF7E27">
        <w:rPr>
          <w:rFonts w:eastAsia="Calibri" w:cstheme="minorHAnsi"/>
          <w:color w:val="000000" w:themeColor="text1"/>
          <w:lang w:val="en-US"/>
        </w:rPr>
        <w:t xml:space="preserve">hold of information on treatments, patients, length of stay, etc. </w:t>
      </w:r>
      <w:r w:rsidRPr="00DF7E27">
        <w:rPr>
          <w:rFonts w:eastAsia="Calibri" w:cstheme="minorHAnsi"/>
          <w:lang w:val="en-US"/>
        </w:rPr>
        <w:t xml:space="preserve"> Today</w:t>
      </w:r>
      <w:r w:rsidRPr="00DF7E27">
        <w:rPr>
          <w:rFonts w:eastAsia="Calibri" w:cstheme="minorHAnsi"/>
          <w:lang w:val="en-US"/>
        </w:rPr>
        <w:t xml:space="preserve">, the NPR and other mandatory health registries in Nordic states are </w:t>
      </w:r>
      <w:r w:rsidRPr="00DF7E27">
        <w:rPr>
          <w:rFonts w:eastAsia="Calibri" w:cstheme="minorHAnsi"/>
          <w:color w:val="000000" w:themeColor="text1"/>
          <w:lang w:val="en-US"/>
        </w:rPr>
        <w:t>world leading in terms of the</w:t>
      </w:r>
      <w:r w:rsidRPr="00DF7E27">
        <w:rPr>
          <w:rFonts w:eastAsia="Calibri" w:cstheme="minorHAnsi"/>
          <w:color w:val="000000" w:themeColor="text1"/>
          <w:lang w:val="en-US"/>
        </w:rPr>
        <w:t>ir</w:t>
      </w:r>
      <w:r w:rsidRPr="00DF7E27">
        <w:rPr>
          <w:rFonts w:eastAsia="Calibri" w:cstheme="minorHAnsi"/>
          <w:color w:val="000000" w:themeColor="text1"/>
          <w:lang w:val="en-US"/>
        </w:rPr>
        <w:t xml:space="preserve"> amount of valuable data. </w:t>
      </w:r>
      <w:r w:rsidRPr="00DF7E27">
        <w:rPr>
          <w:rFonts w:cstheme="minorHAnsi"/>
          <w:lang w:val="en-US"/>
        </w:rPr>
        <w:t xml:space="preserve">The aggregated health data </w:t>
      </w:r>
      <w:r w:rsidRPr="00DF7E27">
        <w:rPr>
          <w:rFonts w:eastAsia="Calibri" w:cstheme="minorHAnsi"/>
          <w:color w:val="000000" w:themeColor="text1"/>
          <w:lang w:val="en-US"/>
        </w:rPr>
        <w:t xml:space="preserve">in the NPR and the other registries constitute a collective </w:t>
      </w:r>
      <w:r w:rsidRPr="00DF7E27">
        <w:rPr>
          <w:rFonts w:eastAsia="Calibri" w:cstheme="minorHAnsi"/>
          <w:color w:val="000000" w:themeColor="text1"/>
          <w:lang w:val="en-US"/>
        </w:rPr>
        <w:t xml:space="preserve">data </w:t>
      </w:r>
      <w:r w:rsidRPr="00DF7E27">
        <w:rPr>
          <w:rFonts w:eastAsia="Calibri" w:cstheme="minorHAnsi"/>
          <w:color w:val="000000" w:themeColor="text1"/>
          <w:lang w:val="en-US"/>
        </w:rPr>
        <w:t>body of the welfare state.  They are good examples for states’ ability to mint data (Fourcade &amp; Gordon 2020).</w:t>
      </w:r>
    </w:p>
    <w:p w14:paraId="75C97BED" w14:textId="13EB4BFE" w:rsidR="00D87317" w:rsidRPr="00DF7E27" w:rsidRDefault="00C768A0" w:rsidP="00DF7E27">
      <w:pPr>
        <w:spacing w:line="360" w:lineRule="auto"/>
        <w:jc w:val="both"/>
        <w:rPr>
          <w:rFonts w:eastAsia="Calibri" w:cstheme="minorHAnsi"/>
          <w:color w:val="000000" w:themeColor="text1"/>
          <w:lang w:val="en-US"/>
        </w:rPr>
      </w:pPr>
      <w:r w:rsidRPr="00DF7E27">
        <w:rPr>
          <w:rFonts w:eastAsia="Calibri" w:cstheme="minorHAnsi"/>
          <w:color w:val="000000" w:themeColor="text1"/>
          <w:lang w:val="en-US"/>
        </w:rPr>
        <w:t>I</w:t>
      </w:r>
      <w:r w:rsidRPr="00DF7E27">
        <w:rPr>
          <w:rFonts w:eastAsia="Calibri" w:cstheme="minorHAnsi"/>
          <w:color w:val="000000" w:themeColor="text1"/>
          <w:lang w:val="en-US"/>
        </w:rPr>
        <w:t>n</w:t>
      </w:r>
      <w:r w:rsidRPr="00DF7E27">
        <w:rPr>
          <w:rFonts w:eastAsia="Calibri" w:cstheme="minorHAnsi"/>
          <w:color w:val="000000" w:themeColor="text1"/>
          <w:lang w:val="en-US"/>
        </w:rPr>
        <w:t>—</w:t>
      </w:r>
      <w:r w:rsidRPr="00DF7E27">
        <w:rPr>
          <w:rFonts w:eastAsia="Calibri" w:cstheme="minorHAnsi"/>
          <w:color w:val="000000" w:themeColor="text1"/>
          <w:lang w:val="en-US"/>
        </w:rPr>
        <w:t xml:space="preserve">what Tupasela, Snell, and Tarkkala (2020) </w:t>
      </w:r>
      <w:r w:rsidRPr="00DF7E27">
        <w:rPr>
          <w:rFonts w:eastAsia="Calibri" w:cstheme="minorHAnsi"/>
          <w:color w:val="000000" w:themeColor="text1"/>
          <w:lang w:val="en-US"/>
        </w:rPr>
        <w:t>coined—</w:t>
      </w:r>
      <w:r w:rsidRPr="00DF7E27">
        <w:rPr>
          <w:rFonts w:eastAsia="Calibri" w:cstheme="minorHAnsi"/>
          <w:color w:val="000000" w:themeColor="text1"/>
          <w:lang w:val="en-US"/>
        </w:rPr>
        <w:t>the ‘Nordic data imaginary</w:t>
      </w:r>
      <w:r w:rsidRPr="00DF7E27">
        <w:rPr>
          <w:rFonts w:eastAsia="Calibri" w:cstheme="minorHAnsi"/>
          <w:color w:val="000000" w:themeColor="text1"/>
          <w:lang w:val="en-US"/>
        </w:rPr>
        <w:t>,’</w:t>
      </w:r>
      <w:r w:rsidRPr="00DF7E27">
        <w:rPr>
          <w:rFonts w:eastAsia="Calibri" w:cstheme="minorHAnsi"/>
          <w:color w:val="000000" w:themeColor="text1"/>
          <w:lang w:val="en-US"/>
        </w:rPr>
        <w:t xml:space="preserve"> </w:t>
      </w:r>
      <w:r w:rsidRPr="00DF7E27">
        <w:rPr>
          <w:rFonts w:eastAsia="Calibri" w:cstheme="minorHAnsi"/>
          <w:color w:val="000000" w:themeColor="text1"/>
          <w:lang w:val="en-US"/>
        </w:rPr>
        <w:t>health data has become</w:t>
      </w:r>
      <w:r w:rsidRPr="00DF7E27">
        <w:rPr>
          <w:rFonts w:eastAsia="Calibri" w:cstheme="minorHAnsi"/>
          <w:color w:val="000000" w:themeColor="text1"/>
          <w:lang w:val="en-US"/>
        </w:rPr>
        <w:t xml:space="preserve"> entangled with visions for economic growth </w:t>
      </w:r>
      <w:r w:rsidRPr="00DF7E27">
        <w:rPr>
          <w:rFonts w:eastAsia="Calibri" w:cstheme="minorHAnsi"/>
          <w:color w:val="000000" w:themeColor="text1"/>
          <w:lang w:val="en-US"/>
        </w:rPr>
        <w:t xml:space="preserve">in recent years. Making health </w:t>
      </w:r>
      <w:r w:rsidR="00DF7E27">
        <w:rPr>
          <w:rFonts w:eastAsia="Calibri" w:cstheme="minorHAnsi"/>
          <w:color w:val="000000" w:themeColor="text1"/>
          <w:lang w:val="en-US"/>
        </w:rPr>
        <w:t xml:space="preserve">data </w:t>
      </w:r>
      <w:r w:rsidRPr="00DF7E27">
        <w:rPr>
          <w:rFonts w:eastAsia="Calibri" w:cstheme="minorHAnsi"/>
          <w:color w:val="000000" w:themeColor="text1"/>
          <w:lang w:val="en-US"/>
        </w:rPr>
        <w:t>easier accessible is part of the work efforts constituting this imaginary. An important element in this work is to centralize</w:t>
      </w:r>
      <w:r w:rsidRPr="00DF7E27">
        <w:rPr>
          <w:rFonts w:eastAsia="Calibri" w:cstheme="minorHAnsi"/>
          <w:color w:val="000000" w:themeColor="text1"/>
          <w:lang w:val="en-US"/>
        </w:rPr>
        <w:t xml:space="preserve"> access to health data. The basic idea behind centralized health data access bodies is creating one-stop-shops, that is, single access points to health data when used for secondary purposes. Such efforts are also being made at the European level, around the creation of a European Health Data Space.</w:t>
      </w:r>
    </w:p>
    <w:p w14:paraId="05B60F11" w14:textId="61DBC340" w:rsidR="00DF7E27" w:rsidRPr="00DF7E27" w:rsidRDefault="00C768A0" w:rsidP="00DF7E27">
      <w:pPr>
        <w:spacing w:line="360" w:lineRule="auto"/>
        <w:jc w:val="both"/>
        <w:rPr>
          <w:rFonts w:cstheme="minorHAnsi"/>
          <w:lang w:val="en-US"/>
        </w:rPr>
      </w:pPr>
      <w:r w:rsidRPr="00DF7E27">
        <w:rPr>
          <w:rFonts w:cstheme="minorHAnsi"/>
          <w:color w:val="000000"/>
          <w:lang w:val="en-US"/>
        </w:rPr>
        <w:t xml:space="preserve">What do actors consider as being of public value when it comes to </w:t>
      </w:r>
      <w:r w:rsidRPr="00DF7E27">
        <w:rPr>
          <w:rFonts w:cstheme="minorHAnsi"/>
          <w:color w:val="000000"/>
          <w:lang w:val="en-US"/>
        </w:rPr>
        <w:t xml:space="preserve">making public </w:t>
      </w:r>
      <w:r w:rsidRPr="00DF7E27">
        <w:rPr>
          <w:rFonts w:cstheme="minorHAnsi"/>
          <w:color w:val="000000"/>
          <w:lang w:val="en-US"/>
        </w:rPr>
        <w:t>health data</w:t>
      </w:r>
      <w:r w:rsidRPr="00DF7E27">
        <w:rPr>
          <w:rFonts w:cstheme="minorHAnsi"/>
          <w:color w:val="000000"/>
          <w:lang w:val="en-US"/>
        </w:rPr>
        <w:t xml:space="preserve"> easier accessible</w:t>
      </w:r>
      <w:r w:rsidRPr="00DF7E27">
        <w:rPr>
          <w:rFonts w:cstheme="minorHAnsi"/>
          <w:color w:val="000000"/>
          <w:lang w:val="en-US"/>
        </w:rPr>
        <w:t>?</w:t>
      </w:r>
      <w:r w:rsidRPr="00DF7E27">
        <w:rPr>
          <w:rFonts w:cstheme="minorHAnsi"/>
          <w:color w:val="000000"/>
          <w:lang w:val="en-US"/>
        </w:rPr>
        <w:t xml:space="preserve"> </w:t>
      </w:r>
      <w:r w:rsidRPr="00DF7E27">
        <w:rPr>
          <w:rFonts w:cstheme="minorHAnsi"/>
          <w:lang w:val="en-US"/>
        </w:rPr>
        <w:t xml:space="preserve">Norway has a long tradition of the collective governance of resources, exemplified by its approach to oil or renewable power (see for example </w:t>
      </w:r>
      <w:proofErr w:type="spellStart"/>
      <w:r w:rsidRPr="00DF7E27">
        <w:rPr>
          <w:rFonts w:cstheme="minorHAnsi"/>
          <w:lang w:val="en-US"/>
        </w:rPr>
        <w:t>Ryggvik</w:t>
      </w:r>
      <w:proofErr w:type="spellEnd"/>
      <w:r w:rsidRPr="00DF7E27">
        <w:rPr>
          <w:rFonts w:cstheme="minorHAnsi"/>
          <w:lang w:val="en-US"/>
        </w:rPr>
        <w:t xml:space="preserve"> 2009 or Thue 2003). In addition, the Nordic welfare states are built on ideas of solidarity, equity, universalism and decommodification (Andreassen, Kaun and </w:t>
      </w:r>
      <w:proofErr w:type="spellStart"/>
      <w:r w:rsidRPr="00DF7E27">
        <w:rPr>
          <w:rFonts w:cstheme="minorHAnsi"/>
          <w:lang w:val="en-US"/>
        </w:rPr>
        <w:t>Nikunen</w:t>
      </w:r>
      <w:proofErr w:type="spellEnd"/>
      <w:r w:rsidRPr="00DF7E27">
        <w:rPr>
          <w:rFonts w:cstheme="minorHAnsi"/>
          <w:lang w:val="en-US"/>
        </w:rPr>
        <w:t xml:space="preserve"> 2021), which would lead us to expect a focus on public value beyond economic value</w:t>
      </w:r>
      <w:r w:rsidRPr="00DF7E27">
        <w:rPr>
          <w:rFonts w:cstheme="minorHAnsi"/>
          <w:lang w:val="en-US"/>
        </w:rPr>
        <w:t>. Do we find</w:t>
      </w:r>
      <w:r w:rsidRPr="00DF7E27">
        <w:rPr>
          <w:rFonts w:cstheme="minorHAnsi"/>
          <w:color w:val="000000"/>
          <w:lang w:val="en-US"/>
        </w:rPr>
        <w:t xml:space="preserve"> ways </w:t>
      </w:r>
      <w:r w:rsidRPr="00DF7E27">
        <w:rPr>
          <w:rFonts w:cstheme="minorHAnsi"/>
          <w:color w:val="000000"/>
          <w:lang w:val="en-US"/>
        </w:rPr>
        <w:t>in which Nordic countries</w:t>
      </w:r>
      <w:r w:rsidRPr="00DF7E27">
        <w:rPr>
          <w:rFonts w:cstheme="minorHAnsi"/>
          <w:color w:val="000000"/>
          <w:lang w:val="en-US"/>
        </w:rPr>
        <w:t xml:space="preserve"> secure benefit sharing</w:t>
      </w:r>
      <w:r w:rsidRPr="00DF7E27">
        <w:rPr>
          <w:rFonts w:cstheme="minorHAnsi"/>
          <w:color w:val="000000"/>
          <w:lang w:val="en-US"/>
        </w:rPr>
        <w:t xml:space="preserve"> from making public health data available</w:t>
      </w:r>
      <w:r w:rsidRPr="00DF7E27">
        <w:rPr>
          <w:rFonts w:cstheme="minorHAnsi"/>
          <w:color w:val="000000"/>
          <w:lang w:val="en-US"/>
        </w:rPr>
        <w:t>?</w:t>
      </w:r>
      <w:r w:rsidRPr="00DF7E27">
        <w:rPr>
          <w:rFonts w:cstheme="minorHAnsi"/>
          <w:lang w:val="en-US"/>
        </w:rPr>
        <w:t xml:space="preserve"> </w:t>
      </w:r>
      <w:r w:rsidRPr="00DF7E27">
        <w:rPr>
          <w:rFonts w:eastAsia="Calibri" w:cstheme="minorHAnsi"/>
          <w:color w:val="000000" w:themeColor="text1"/>
          <w:lang w:val="en-US"/>
        </w:rPr>
        <w:t xml:space="preserve">With a focus on Norway, I will in this presentation elicit </w:t>
      </w:r>
      <w:r w:rsidR="00DF7E27" w:rsidRPr="00DF7E27">
        <w:rPr>
          <w:rFonts w:cstheme="minorHAnsi"/>
          <w:lang w:val="en-US"/>
        </w:rPr>
        <w:t xml:space="preserve">how public-private boundaries are enacted </w:t>
      </w:r>
      <w:r w:rsidR="00DF7E27" w:rsidRPr="00DF7E27">
        <w:rPr>
          <w:rFonts w:cstheme="minorHAnsi"/>
          <w:lang w:val="en-US"/>
        </w:rPr>
        <w:t xml:space="preserve">in these developments. How is it negotiated </w:t>
      </w:r>
      <w:r w:rsidR="00DF7E27">
        <w:rPr>
          <w:rFonts w:cstheme="minorHAnsi"/>
          <w:lang w:val="en-US"/>
        </w:rPr>
        <w:t xml:space="preserve">when </w:t>
      </w:r>
      <w:r w:rsidR="00DF7E27" w:rsidRPr="00DF7E27">
        <w:rPr>
          <w:rFonts w:cstheme="minorHAnsi"/>
          <w:lang w:val="en-US"/>
        </w:rPr>
        <w:t xml:space="preserve">the private </w:t>
      </w:r>
      <w:r w:rsidR="00DF7E27" w:rsidRPr="00DF7E27">
        <w:rPr>
          <w:rFonts w:cstheme="minorHAnsi"/>
          <w:lang w:val="en-US"/>
        </w:rPr>
        <w:t>enter</w:t>
      </w:r>
      <w:r w:rsidR="00DF7E27" w:rsidRPr="00DF7E27">
        <w:rPr>
          <w:rFonts w:cstheme="minorHAnsi"/>
          <w:lang w:val="en-US"/>
        </w:rPr>
        <w:t>s</w:t>
      </w:r>
      <w:r w:rsidR="00DF7E27" w:rsidRPr="00DF7E27">
        <w:rPr>
          <w:rFonts w:cstheme="minorHAnsi"/>
          <w:lang w:val="en-US"/>
        </w:rPr>
        <w:t xml:space="preserve"> public resources, for example by private infrastructures facilitating health data collections, or by private actors tapping into health data registers?</w:t>
      </w:r>
    </w:p>
    <w:p w14:paraId="4A634B63" w14:textId="346CBFB1" w:rsidR="00C768A0" w:rsidRPr="00DF7E27" w:rsidRDefault="00C768A0" w:rsidP="00DF7E27">
      <w:pPr>
        <w:spacing w:line="360" w:lineRule="auto"/>
        <w:jc w:val="both"/>
        <w:rPr>
          <w:rFonts w:eastAsia="Calibri" w:cstheme="minorHAnsi"/>
          <w:color w:val="000000" w:themeColor="text1"/>
          <w:lang w:val="en-US"/>
        </w:rPr>
      </w:pPr>
    </w:p>
    <w:p w14:paraId="4731F425" w14:textId="77777777" w:rsidR="00D87317" w:rsidRPr="00C768A0" w:rsidRDefault="00D87317">
      <w:pPr>
        <w:rPr>
          <w:rFonts w:eastAsia="Calibri"/>
          <w:color w:val="000000" w:themeColor="text1"/>
          <w:lang w:val="en-US"/>
        </w:rPr>
      </w:pPr>
    </w:p>
    <w:sectPr w:rsidR="00D87317" w:rsidRPr="00C76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17"/>
    <w:rsid w:val="00C768A0"/>
    <w:rsid w:val="00D87317"/>
    <w:rsid w:val="00DF7E27"/>
    <w:rsid w:val="00E8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2A1AB"/>
  <w15:chartTrackingRefBased/>
  <w15:docId w15:val="{8EFA39AA-F501-4122-9540-5FDA6F0D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3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D87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3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317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2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2A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2A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852A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idrun.aam@ntnu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Heidrun Åm</dc:creator>
  <cp:keywords/>
  <dc:description/>
  <cp:lastModifiedBy>Heidrun Åm</cp:lastModifiedBy>
  <cp:revision>2</cp:revision>
  <dcterms:created xsi:type="dcterms:W3CDTF">2024-02-29T13:59:00Z</dcterms:created>
  <dcterms:modified xsi:type="dcterms:W3CDTF">2024-02-29T14:32:00Z</dcterms:modified>
</cp:coreProperties>
</file>