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1BD90" w14:textId="6C32FE4D" w:rsidR="00D75884" w:rsidRPr="005C7DED" w:rsidRDefault="009C0F77" w:rsidP="0076238A">
      <w:pPr>
        <w:spacing w:line="276" w:lineRule="auto"/>
        <w:rPr>
          <w:rFonts w:cs="Times New Roman"/>
          <w:b/>
          <w:bCs/>
          <w:sz w:val="28"/>
          <w:szCs w:val="28"/>
        </w:rPr>
      </w:pPr>
      <w:r w:rsidRPr="005C7DED">
        <w:rPr>
          <w:rFonts w:cs="Times New Roman"/>
          <w:b/>
          <w:bCs/>
          <w:sz w:val="28"/>
          <w:szCs w:val="28"/>
        </w:rPr>
        <w:t>Growing</w:t>
      </w:r>
      <w:r w:rsidR="00271CD1" w:rsidRPr="005C7DED">
        <w:rPr>
          <w:rFonts w:cs="Times New Roman"/>
          <w:b/>
          <w:bCs/>
          <w:sz w:val="28"/>
          <w:szCs w:val="28"/>
        </w:rPr>
        <w:t xml:space="preserve"> up in </w:t>
      </w:r>
      <w:r w:rsidR="00D75884" w:rsidRPr="005C7DED">
        <w:rPr>
          <w:rFonts w:cs="Times New Roman"/>
          <w:b/>
          <w:bCs/>
          <w:sz w:val="28"/>
          <w:szCs w:val="28"/>
        </w:rPr>
        <w:t xml:space="preserve">vulnerable neighbourhoods in adolescence </w:t>
      </w:r>
      <w:r w:rsidR="007B28EC" w:rsidRPr="005C7DED">
        <w:rPr>
          <w:rFonts w:cs="Times New Roman"/>
          <w:b/>
          <w:bCs/>
          <w:sz w:val="28"/>
          <w:szCs w:val="28"/>
        </w:rPr>
        <w:t xml:space="preserve">and </w:t>
      </w:r>
      <w:r w:rsidR="00271CD1" w:rsidRPr="005C7DED">
        <w:rPr>
          <w:rFonts w:cs="Times New Roman"/>
          <w:b/>
          <w:bCs/>
          <w:sz w:val="28"/>
          <w:szCs w:val="28"/>
        </w:rPr>
        <w:t xml:space="preserve">later </w:t>
      </w:r>
      <w:r w:rsidR="00D75884" w:rsidRPr="005C7DED">
        <w:rPr>
          <w:rFonts w:cs="Times New Roman"/>
          <w:b/>
          <w:bCs/>
          <w:sz w:val="28"/>
          <w:szCs w:val="28"/>
        </w:rPr>
        <w:t xml:space="preserve">occupational status in emerging adulthood: </w:t>
      </w:r>
      <w:r w:rsidR="00593348" w:rsidRPr="005C7DED">
        <w:rPr>
          <w:rFonts w:cs="Times New Roman"/>
          <w:b/>
          <w:bCs/>
          <w:sz w:val="28"/>
          <w:szCs w:val="28"/>
        </w:rPr>
        <w:t>a</w:t>
      </w:r>
      <w:r w:rsidR="00D75884" w:rsidRPr="005C7DED">
        <w:rPr>
          <w:rFonts w:cs="Times New Roman"/>
          <w:b/>
          <w:bCs/>
          <w:sz w:val="28"/>
          <w:szCs w:val="28"/>
        </w:rPr>
        <w:t xml:space="preserve"> </w:t>
      </w:r>
      <w:r w:rsidR="00593348" w:rsidRPr="005C7DED">
        <w:rPr>
          <w:rFonts w:cs="Times New Roman"/>
          <w:b/>
          <w:bCs/>
          <w:sz w:val="28"/>
          <w:szCs w:val="28"/>
        </w:rPr>
        <w:t xml:space="preserve">Danish </w:t>
      </w:r>
      <w:r w:rsidRPr="005C7DED">
        <w:rPr>
          <w:rFonts w:cs="Times New Roman"/>
          <w:b/>
          <w:bCs/>
          <w:sz w:val="28"/>
          <w:szCs w:val="28"/>
        </w:rPr>
        <w:t xml:space="preserve">register-based </w:t>
      </w:r>
      <w:r w:rsidR="00D75884" w:rsidRPr="005C7DED">
        <w:rPr>
          <w:rFonts w:cs="Times New Roman"/>
          <w:b/>
          <w:bCs/>
          <w:sz w:val="28"/>
          <w:szCs w:val="28"/>
        </w:rPr>
        <w:t>multilevel study</w:t>
      </w:r>
    </w:p>
    <w:p w14:paraId="20C2088B" w14:textId="77777777" w:rsidR="00D75884" w:rsidRPr="00A459E1" w:rsidRDefault="00D75884" w:rsidP="0076238A">
      <w:pPr>
        <w:spacing w:line="276" w:lineRule="auto"/>
        <w:rPr>
          <w:rFonts w:cs="Times New Roman"/>
          <w:lang w:val="en-US"/>
        </w:rPr>
      </w:pPr>
    </w:p>
    <w:p w14:paraId="4ECE7E0F" w14:textId="0248E713" w:rsidR="00D75884" w:rsidRPr="00A459E1" w:rsidRDefault="00D75884" w:rsidP="0076238A">
      <w:pPr>
        <w:spacing w:line="276" w:lineRule="auto"/>
        <w:rPr>
          <w:rFonts w:cs="Times New Roman"/>
          <w:lang w:val="da-DK"/>
        </w:rPr>
      </w:pPr>
      <w:r w:rsidRPr="00A459E1">
        <w:rPr>
          <w:rFonts w:cs="Times New Roman"/>
          <w:lang w:val="da-DK"/>
        </w:rPr>
        <w:t>Andreas Lindegaard Jakobsen</w:t>
      </w:r>
      <w:r w:rsidR="00842D8E" w:rsidRPr="00A63EFC">
        <w:rPr>
          <w:rFonts w:cs="Times New Roman"/>
          <w:vertAlign w:val="superscript"/>
          <w:lang w:val="da-DK"/>
        </w:rPr>
        <w:t>1</w:t>
      </w:r>
      <w:r w:rsidR="00A63EFC">
        <w:rPr>
          <w:rFonts w:cs="Times New Roman"/>
          <w:vertAlign w:val="superscript"/>
          <w:lang w:val="da-DK"/>
        </w:rPr>
        <w:t>*</w:t>
      </w:r>
      <w:r w:rsidRPr="00A459E1">
        <w:rPr>
          <w:rFonts w:cs="Times New Roman"/>
          <w:lang w:val="da-DK"/>
        </w:rPr>
        <w:t>, Rolf Lyneborg Lund</w:t>
      </w:r>
      <w:r w:rsidR="00A63EFC" w:rsidRPr="00A63EFC">
        <w:rPr>
          <w:rFonts w:cs="Times New Roman"/>
          <w:vertAlign w:val="superscript"/>
          <w:lang w:val="da-DK"/>
        </w:rPr>
        <w:t>1</w:t>
      </w:r>
      <w:r w:rsidRPr="00A459E1">
        <w:rPr>
          <w:rFonts w:cs="Times New Roman"/>
          <w:lang w:val="da-DK"/>
        </w:rPr>
        <w:t>, Anna Laura Ridder Agerskov</w:t>
      </w:r>
      <w:r w:rsidR="00A63EFC" w:rsidRPr="00A63EFC">
        <w:rPr>
          <w:rFonts w:cs="Times New Roman"/>
          <w:vertAlign w:val="superscript"/>
          <w:lang w:val="da-DK"/>
        </w:rPr>
        <w:t>1</w:t>
      </w:r>
      <w:r w:rsidRPr="00A459E1">
        <w:rPr>
          <w:rFonts w:cs="Times New Roman"/>
          <w:lang w:val="da-DK"/>
        </w:rPr>
        <w:t>, Hanne Louise Jensen</w:t>
      </w:r>
      <w:r w:rsidR="00A63EFC" w:rsidRPr="00A63EFC">
        <w:rPr>
          <w:rFonts w:cs="Times New Roman"/>
          <w:vertAlign w:val="superscript"/>
          <w:lang w:val="da-DK"/>
        </w:rPr>
        <w:t>1</w:t>
      </w:r>
      <w:r w:rsidRPr="00A459E1">
        <w:rPr>
          <w:rFonts w:cs="Times New Roman"/>
          <w:lang w:val="da-DK"/>
        </w:rPr>
        <w:t>, Anja Jørgensen</w:t>
      </w:r>
      <w:r w:rsidR="00A63EFC" w:rsidRPr="00A63EFC">
        <w:rPr>
          <w:rFonts w:cs="Times New Roman"/>
          <w:vertAlign w:val="superscript"/>
          <w:lang w:val="da-DK"/>
        </w:rPr>
        <w:t>1</w:t>
      </w:r>
    </w:p>
    <w:p w14:paraId="0DF8E622" w14:textId="77777777" w:rsidR="008A6A76" w:rsidRPr="00A459E1" w:rsidRDefault="008A6A76" w:rsidP="0076238A">
      <w:pPr>
        <w:spacing w:line="276" w:lineRule="auto"/>
        <w:rPr>
          <w:rFonts w:cs="Times New Roman"/>
          <w:vertAlign w:val="superscript"/>
          <w:lang w:val="da-DK"/>
        </w:rPr>
      </w:pPr>
    </w:p>
    <w:p w14:paraId="02120FD4" w14:textId="3070FA79" w:rsidR="00D75884" w:rsidRPr="00A459E1" w:rsidRDefault="00A63EFC" w:rsidP="0076238A">
      <w:pPr>
        <w:tabs>
          <w:tab w:val="right" w:pos="9638"/>
        </w:tabs>
        <w:spacing w:line="276" w:lineRule="auto"/>
        <w:rPr>
          <w:rFonts w:cs="Times New Roman"/>
        </w:rPr>
      </w:pPr>
      <w:r w:rsidRPr="00A63EFC">
        <w:rPr>
          <w:rFonts w:cs="Times New Roman"/>
          <w:vertAlign w:val="superscript"/>
          <w:lang w:val="en-US"/>
        </w:rPr>
        <w:t>1</w:t>
      </w:r>
      <w:r w:rsidR="00D75884" w:rsidRPr="00A459E1">
        <w:rPr>
          <w:rFonts w:cs="Times New Roman"/>
        </w:rPr>
        <w:t xml:space="preserve">Department of Sociology and Social Work, Aalborg University, </w:t>
      </w:r>
      <w:proofErr w:type="spellStart"/>
      <w:r w:rsidR="00D75884" w:rsidRPr="00A459E1">
        <w:rPr>
          <w:rFonts w:cs="Times New Roman"/>
        </w:rPr>
        <w:t>Kroghstræde</w:t>
      </w:r>
      <w:proofErr w:type="spellEnd"/>
      <w:r w:rsidR="00D75884" w:rsidRPr="00A459E1">
        <w:rPr>
          <w:rFonts w:cs="Times New Roman"/>
        </w:rPr>
        <w:t xml:space="preserve"> 7, 9220 Aalborg, Denmark</w:t>
      </w:r>
      <w:r w:rsidR="008A6A76" w:rsidRPr="00A459E1">
        <w:rPr>
          <w:rFonts w:cs="Times New Roman"/>
        </w:rPr>
        <w:tab/>
      </w:r>
    </w:p>
    <w:p w14:paraId="7298F445" w14:textId="7945B54B" w:rsidR="008A6A76" w:rsidRPr="00A459E1" w:rsidRDefault="00A63EFC" w:rsidP="0076238A">
      <w:pPr>
        <w:tabs>
          <w:tab w:val="right" w:pos="9638"/>
        </w:tabs>
        <w:spacing w:line="276" w:lineRule="auto"/>
        <w:rPr>
          <w:rFonts w:cs="Times New Roman"/>
        </w:rPr>
      </w:pPr>
      <w:r>
        <w:rPr>
          <w:rFonts w:cs="Times New Roman"/>
        </w:rPr>
        <w:t>*</w:t>
      </w:r>
      <w:r w:rsidR="008A6A76" w:rsidRPr="00A459E1">
        <w:rPr>
          <w:rFonts w:cs="Times New Roman"/>
        </w:rPr>
        <w:t xml:space="preserve">Presenter: Andreas Lindegaard Jakobsen, </w:t>
      </w:r>
      <w:hyperlink r:id="rId5" w:history="1">
        <w:r w:rsidR="008A6A76" w:rsidRPr="00A459E1">
          <w:rPr>
            <w:rStyle w:val="Hyperlink"/>
            <w:rFonts w:cs="Times New Roman"/>
          </w:rPr>
          <w:t>andreaslj@socsci.aau.dk</w:t>
        </w:r>
      </w:hyperlink>
    </w:p>
    <w:p w14:paraId="2FA8A711" w14:textId="77777777" w:rsidR="00A60D3E" w:rsidRPr="00A459E1" w:rsidRDefault="00A60D3E" w:rsidP="0076238A">
      <w:pPr>
        <w:pStyle w:val="Heading1"/>
        <w:spacing w:line="276" w:lineRule="auto"/>
      </w:pPr>
    </w:p>
    <w:p w14:paraId="026B3779" w14:textId="3BF48BEC" w:rsidR="009E6CCF" w:rsidRPr="00A459E1" w:rsidRDefault="009E6CCF" w:rsidP="0076238A">
      <w:pPr>
        <w:pStyle w:val="Heading1"/>
        <w:spacing w:line="276" w:lineRule="auto"/>
      </w:pPr>
      <w:r w:rsidRPr="00A459E1">
        <w:t>Abstract</w:t>
      </w:r>
    </w:p>
    <w:p w14:paraId="5473B043" w14:textId="4D5312AB" w:rsidR="00082A76" w:rsidRPr="00A0708B" w:rsidRDefault="009E6CCF" w:rsidP="0076238A">
      <w:pPr>
        <w:spacing w:line="276" w:lineRule="auto"/>
        <w:jc w:val="both"/>
        <w:rPr>
          <w:rFonts w:cs="Times New Roman"/>
        </w:rPr>
      </w:pPr>
      <w:r w:rsidRPr="00A459E1">
        <w:rPr>
          <w:rFonts w:cs="Times New Roman"/>
        </w:rPr>
        <w:t>Previous studies have linked growing up in vulnerable neighbourhoods to worse health and social outcomes in adulthood</w:t>
      </w:r>
      <w:r w:rsidR="003D7567">
        <w:rPr>
          <w:rFonts w:cs="Times New Roman"/>
        </w:rPr>
        <w:t xml:space="preserve"> </w:t>
      </w:r>
      <w:sdt>
        <w:sdtPr>
          <w:rPr>
            <w:rFonts w:cs="Times New Roman"/>
            <w:color w:val="000000"/>
            <w:vertAlign w:val="superscript"/>
          </w:rPr>
          <w:tag w:val="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"/>
          <w:id w:val="-2020233808"/>
          <w:placeholder>
            <w:docPart w:val="DefaultPlaceholder_-1854013440"/>
          </w:placeholder>
        </w:sdtPr>
        <w:sdtEndPr/>
        <w:sdtContent>
          <w:r w:rsidR="0000278C">
            <w:rPr>
              <w:rFonts w:eastAsia="Times New Roman"/>
            </w:rPr>
            <w:t>(Chyn &amp; Katz, 2021; Leventhal &amp; Brooks-Gunn, 2000; Minh et al., 2017; Visser et al., 2021)</w:t>
          </w:r>
        </w:sdtContent>
      </w:sdt>
      <w:r w:rsidR="00A0708B">
        <w:rPr>
          <w:rFonts w:cs="Times New Roman"/>
        </w:rPr>
        <w:t xml:space="preserve"> </w:t>
      </w:r>
      <w:r w:rsidRPr="00A459E1">
        <w:rPr>
          <w:rFonts w:cs="Times New Roman"/>
        </w:rPr>
        <w:t xml:space="preserve">but with mixed findings regarding the impact on young people’s occupational status, and with studies often </w:t>
      </w:r>
      <w:r w:rsidRPr="00A459E1">
        <w:rPr>
          <w:rFonts w:cs="Times New Roman"/>
          <w:color w:val="000000" w:themeColor="text1"/>
        </w:rPr>
        <w:t xml:space="preserve">limited by models that did not optimally distinguish neighbourhood- from individual- or family-level effects. </w:t>
      </w:r>
    </w:p>
    <w:p w14:paraId="4EF421CF" w14:textId="1A70F726" w:rsidR="00D05FE2" w:rsidRDefault="009E6CCF" w:rsidP="0076238A">
      <w:pPr>
        <w:spacing w:line="276" w:lineRule="auto"/>
        <w:jc w:val="both"/>
        <w:rPr>
          <w:rFonts w:cs="Times New Roman"/>
          <w:color w:val="000000" w:themeColor="text1"/>
        </w:rPr>
      </w:pPr>
      <w:r w:rsidRPr="00A459E1">
        <w:rPr>
          <w:rFonts w:cs="Times New Roman"/>
        </w:rPr>
        <w:t xml:space="preserve">The aim of this study was to </w:t>
      </w:r>
      <w:r w:rsidRPr="00A459E1">
        <w:rPr>
          <w:rFonts w:cs="Times New Roman"/>
          <w:color w:val="000000" w:themeColor="text1"/>
        </w:rPr>
        <w:t xml:space="preserve">examine the long-term association between </w:t>
      </w:r>
      <w:r w:rsidR="00443D9F" w:rsidRPr="00A459E1">
        <w:rPr>
          <w:rFonts w:cs="Times New Roman"/>
          <w:color w:val="000000" w:themeColor="text1"/>
        </w:rPr>
        <w:t>growing up in a</w:t>
      </w:r>
      <w:r w:rsidRPr="00A459E1">
        <w:rPr>
          <w:rFonts w:cs="Times New Roman"/>
          <w:color w:val="000000" w:themeColor="text1"/>
        </w:rPr>
        <w:t xml:space="preserve"> vulnerable Danish neighbourhood </w:t>
      </w:r>
      <w:r w:rsidR="00443D9F" w:rsidRPr="00A459E1">
        <w:rPr>
          <w:rFonts w:cs="Times New Roman"/>
          <w:color w:val="000000" w:themeColor="text1"/>
        </w:rPr>
        <w:t>during</w:t>
      </w:r>
      <w:r w:rsidRPr="00A459E1">
        <w:rPr>
          <w:rFonts w:cs="Times New Roman"/>
          <w:color w:val="000000" w:themeColor="text1"/>
        </w:rPr>
        <w:t xml:space="preserve"> adolescence and later occupational status in emerging adulthood and to compare the relative importance of the family and neighbourhood context</w:t>
      </w:r>
      <w:r w:rsidR="00A7432B">
        <w:rPr>
          <w:rFonts w:cs="Times New Roman"/>
          <w:color w:val="000000" w:themeColor="text1"/>
        </w:rPr>
        <w:t>.</w:t>
      </w:r>
      <w:r w:rsidRPr="00A459E1">
        <w:rPr>
          <w:rFonts w:cs="Times New Roman"/>
          <w:color w:val="000000" w:themeColor="text1"/>
        </w:rPr>
        <w:t xml:space="preserve"> </w:t>
      </w:r>
    </w:p>
    <w:p w14:paraId="4AEF7460" w14:textId="77777777" w:rsidR="00082A76" w:rsidRDefault="009E6CCF" w:rsidP="0076238A">
      <w:pPr>
        <w:spacing w:line="276" w:lineRule="auto"/>
        <w:jc w:val="both"/>
        <w:rPr>
          <w:rFonts w:cs="Times New Roman"/>
          <w:color w:val="000000" w:themeColor="text1"/>
        </w:rPr>
      </w:pPr>
      <w:r w:rsidRPr="00A459E1">
        <w:rPr>
          <w:rFonts w:cs="Times New Roman"/>
          <w:color w:val="000000" w:themeColor="text1"/>
        </w:rPr>
        <w:t xml:space="preserve">Danish population register data were used to follow 390,574 individuals nested in 301,227 families, which were nested in 7,937 neighbourhoods from age 10-15 in 2009 to age 20-25 in 2019. Three-level </w:t>
      </w:r>
      <w:r w:rsidR="007F7B5C" w:rsidRPr="00A459E1">
        <w:rPr>
          <w:rFonts w:cs="Times New Roman"/>
          <w:color w:val="000000" w:themeColor="text1"/>
        </w:rPr>
        <w:t xml:space="preserve">multilevel </w:t>
      </w:r>
      <w:r w:rsidRPr="00A459E1">
        <w:rPr>
          <w:rFonts w:cs="Times New Roman"/>
          <w:color w:val="000000" w:themeColor="text1"/>
        </w:rPr>
        <w:t xml:space="preserve">logistic regression models stratified by native and immigrant/descendant status were applied to estimate the general and specific family and neighbourhood contextual effects. </w:t>
      </w:r>
    </w:p>
    <w:p w14:paraId="28564CC5" w14:textId="12C5025A" w:rsidR="00082A76" w:rsidRDefault="009E6CCF" w:rsidP="0076238A">
      <w:pPr>
        <w:spacing w:line="276" w:lineRule="auto"/>
        <w:jc w:val="both"/>
        <w:rPr>
          <w:rFonts w:cs="Times New Roman"/>
        </w:rPr>
      </w:pPr>
      <w:r w:rsidRPr="00A459E1">
        <w:rPr>
          <w:rFonts w:cs="Times New Roman"/>
          <w:color w:val="000000" w:themeColor="text1"/>
        </w:rPr>
        <w:t xml:space="preserve">The results showed higher general contextual effects attributed to the family context </w:t>
      </w:r>
      <w:r w:rsidR="00C66A14">
        <w:rPr>
          <w:rFonts w:cs="Times New Roman"/>
          <w:color w:val="000000" w:themeColor="text1"/>
        </w:rPr>
        <w:t xml:space="preserve">compared </w:t>
      </w:r>
      <w:r w:rsidRPr="00A459E1">
        <w:rPr>
          <w:rFonts w:cs="Times New Roman"/>
          <w:color w:val="000000" w:themeColor="text1"/>
        </w:rPr>
        <w:t xml:space="preserve">to neighbourhoods, with </w:t>
      </w:r>
      <w:r w:rsidR="00121615">
        <w:rPr>
          <w:rFonts w:cs="Times New Roman"/>
          <w:color w:val="000000" w:themeColor="text1"/>
        </w:rPr>
        <w:t xml:space="preserve">the </w:t>
      </w:r>
      <w:r w:rsidRPr="00A459E1">
        <w:rPr>
          <w:rFonts w:cs="Times New Roman"/>
          <w:color w:val="000000" w:themeColor="text1"/>
        </w:rPr>
        <w:t xml:space="preserve">vulnerable neighbourhoods explaining only a small part of the neighbourhood variance. </w:t>
      </w:r>
      <w:r w:rsidRPr="00A459E1">
        <w:rPr>
          <w:rFonts w:cs="Times New Roman"/>
        </w:rPr>
        <w:t xml:space="preserve">After controlling for individual- and family-level covariates, </w:t>
      </w:r>
      <w:r w:rsidR="00C66A14">
        <w:rPr>
          <w:rFonts w:cs="Times New Roman"/>
        </w:rPr>
        <w:t>growing up</w:t>
      </w:r>
      <w:r w:rsidRPr="00A459E1">
        <w:rPr>
          <w:rFonts w:cs="Times New Roman"/>
        </w:rPr>
        <w:t xml:space="preserve"> in a vulnerable neighbourhood </w:t>
      </w:r>
      <w:r w:rsidR="00C66A14">
        <w:rPr>
          <w:rFonts w:cs="Times New Roman"/>
        </w:rPr>
        <w:t>during</w:t>
      </w:r>
      <w:r w:rsidRPr="00A459E1">
        <w:rPr>
          <w:rFonts w:cs="Times New Roman"/>
        </w:rPr>
        <w:t xml:space="preserve"> adolescence was associated with a higher risk of not being in education or employment in emerging adulthood for both native Danes and immigrants/descendants. </w:t>
      </w:r>
    </w:p>
    <w:p w14:paraId="663BDD78" w14:textId="607874AB" w:rsidR="009E6CCF" w:rsidRPr="00A459E1" w:rsidRDefault="009E6CCF" w:rsidP="0076238A">
      <w:pPr>
        <w:spacing w:line="276" w:lineRule="auto"/>
        <w:jc w:val="both"/>
        <w:rPr>
          <w:rFonts w:cs="Times New Roman"/>
        </w:rPr>
      </w:pPr>
      <w:r w:rsidRPr="00A459E1">
        <w:rPr>
          <w:rFonts w:cs="Times New Roman"/>
        </w:rPr>
        <w:t xml:space="preserve">The findings indicate that growing up in a vulnerable neighbourhood may have a long-term </w:t>
      </w:r>
      <w:r w:rsidR="00A032DB">
        <w:rPr>
          <w:rFonts w:cs="Times New Roman"/>
        </w:rPr>
        <w:t xml:space="preserve">negative </w:t>
      </w:r>
      <w:r w:rsidRPr="00A459E1">
        <w:rPr>
          <w:rFonts w:cs="Times New Roman"/>
        </w:rPr>
        <w:t xml:space="preserve">impact on occupational status but with a much larger </w:t>
      </w:r>
      <w:r w:rsidR="00033B92" w:rsidRPr="00A459E1">
        <w:rPr>
          <w:rFonts w:cs="Times New Roman"/>
        </w:rPr>
        <w:t xml:space="preserve">contextual </w:t>
      </w:r>
      <w:r w:rsidRPr="00A459E1">
        <w:rPr>
          <w:rFonts w:cs="Times New Roman"/>
        </w:rPr>
        <w:t>influence attributed to the family context than to adolescents’ neighbourhood context.</w:t>
      </w:r>
    </w:p>
    <w:p w14:paraId="4757545A" w14:textId="77777777" w:rsidR="00F20338" w:rsidRPr="00A459E1" w:rsidRDefault="00F20338" w:rsidP="0076238A">
      <w:pPr>
        <w:spacing w:line="276" w:lineRule="auto"/>
        <w:jc w:val="both"/>
        <w:rPr>
          <w:rFonts w:cs="Times New Roman"/>
        </w:rPr>
      </w:pPr>
    </w:p>
    <w:p w14:paraId="739DDC46" w14:textId="3D27A679" w:rsidR="00F20338" w:rsidRPr="00A459E1" w:rsidRDefault="00F20338" w:rsidP="0076238A">
      <w:pPr>
        <w:spacing w:line="276" w:lineRule="auto"/>
        <w:jc w:val="both"/>
        <w:rPr>
          <w:rFonts w:cs="Times New Roman"/>
          <w:b/>
          <w:bCs/>
        </w:rPr>
      </w:pPr>
      <w:r w:rsidRPr="00A459E1">
        <w:rPr>
          <w:rFonts w:cs="Times New Roman"/>
          <w:b/>
          <w:bCs/>
        </w:rPr>
        <w:t>References</w:t>
      </w:r>
    </w:p>
    <w:sdt>
      <w:sdtPr>
        <w:rPr>
          <w:rFonts w:cs="Times New Roman"/>
          <w:color w:val="000000" w:themeColor="text1"/>
        </w:rPr>
        <w:tag w:val="MENDELEY_BIBLIOGRAPHY"/>
        <w:id w:val="919682360"/>
        <w:placeholder>
          <w:docPart w:val="DefaultPlaceholder_-1854013440"/>
        </w:placeholder>
      </w:sdtPr>
      <w:sdtEndPr/>
      <w:sdtContent>
        <w:p w14:paraId="0398966B" w14:textId="77777777" w:rsidR="0000278C" w:rsidRDefault="0000278C" w:rsidP="00B42ECC">
          <w:pPr>
            <w:autoSpaceDE w:val="0"/>
            <w:autoSpaceDN w:val="0"/>
            <w:spacing w:line="276" w:lineRule="auto"/>
            <w:ind w:hanging="480"/>
            <w:divId w:val="1413504802"/>
            <w:rPr>
              <w:rFonts w:eastAsia="Times New Roman"/>
              <w:sz w:val="24"/>
              <w:szCs w:val="24"/>
            </w:rPr>
          </w:pPr>
          <w:r w:rsidRPr="009C0F77">
            <w:rPr>
              <w:rFonts w:eastAsia="Times New Roman"/>
              <w:lang w:val="en-US"/>
            </w:rPr>
            <w:t xml:space="preserve">Chyn, E., &amp; Katz, L. F. (2021). </w:t>
          </w:r>
          <w:proofErr w:type="spellStart"/>
          <w:r>
            <w:rPr>
              <w:rFonts w:eastAsia="Times New Roman"/>
            </w:rPr>
            <w:t>Neighborhoods</w:t>
          </w:r>
          <w:proofErr w:type="spellEnd"/>
          <w:r>
            <w:rPr>
              <w:rFonts w:eastAsia="Times New Roman"/>
            </w:rPr>
            <w:t xml:space="preserve"> matter: Assessing the evidence for place effects. </w:t>
          </w:r>
          <w:r>
            <w:rPr>
              <w:rFonts w:eastAsia="Times New Roman"/>
              <w:i/>
              <w:iCs/>
            </w:rPr>
            <w:t>Journal of Economic Perspectives</w:t>
          </w:r>
          <w:r>
            <w:rPr>
              <w:rFonts w:eastAsia="Times New Roman"/>
            </w:rPr>
            <w:t xml:space="preserve">, </w:t>
          </w:r>
          <w:r>
            <w:rPr>
              <w:rFonts w:eastAsia="Times New Roman"/>
              <w:i/>
              <w:iCs/>
            </w:rPr>
            <w:t>35</w:t>
          </w:r>
          <w:r>
            <w:rPr>
              <w:rFonts w:eastAsia="Times New Roman"/>
            </w:rPr>
            <w:t>(4). https://doi.org/10.1257/jep.35.4.197</w:t>
          </w:r>
        </w:p>
        <w:p w14:paraId="0FCF400B" w14:textId="77777777" w:rsidR="0000278C" w:rsidRDefault="0000278C" w:rsidP="00B42ECC">
          <w:pPr>
            <w:autoSpaceDE w:val="0"/>
            <w:autoSpaceDN w:val="0"/>
            <w:spacing w:line="276" w:lineRule="auto"/>
            <w:ind w:hanging="480"/>
            <w:divId w:val="1107695724"/>
            <w:rPr>
              <w:rFonts w:eastAsia="Times New Roman"/>
            </w:rPr>
          </w:pPr>
          <w:r>
            <w:rPr>
              <w:rFonts w:eastAsia="Times New Roman"/>
            </w:rPr>
            <w:t xml:space="preserve">Leventhal, T., &amp; Brooks-Gunn, J. (2000). The </w:t>
          </w:r>
          <w:proofErr w:type="spellStart"/>
          <w:r>
            <w:rPr>
              <w:rFonts w:eastAsia="Times New Roman"/>
            </w:rPr>
            <w:t>Neighborhoods</w:t>
          </w:r>
          <w:proofErr w:type="spellEnd"/>
          <w:r>
            <w:rPr>
              <w:rFonts w:eastAsia="Times New Roman"/>
            </w:rPr>
            <w:t xml:space="preserve"> They Live in: The Effects of </w:t>
          </w:r>
          <w:proofErr w:type="spellStart"/>
          <w:r>
            <w:rPr>
              <w:rFonts w:eastAsia="Times New Roman"/>
            </w:rPr>
            <w:t>Neighborhood</w:t>
          </w:r>
          <w:proofErr w:type="spellEnd"/>
          <w:r>
            <w:rPr>
              <w:rFonts w:eastAsia="Times New Roman"/>
            </w:rPr>
            <w:t xml:space="preserve"> Residence on Child and Adolescent Outcomes. </w:t>
          </w:r>
          <w:r>
            <w:rPr>
              <w:rFonts w:eastAsia="Times New Roman"/>
              <w:i/>
              <w:iCs/>
            </w:rPr>
            <w:t>Psychological Bulletin</w:t>
          </w:r>
          <w:r>
            <w:rPr>
              <w:rFonts w:eastAsia="Times New Roman"/>
            </w:rPr>
            <w:t xml:space="preserve">, </w:t>
          </w:r>
          <w:r>
            <w:rPr>
              <w:rFonts w:eastAsia="Times New Roman"/>
              <w:i/>
              <w:iCs/>
            </w:rPr>
            <w:t>126</w:t>
          </w:r>
          <w:r>
            <w:rPr>
              <w:rFonts w:eastAsia="Times New Roman"/>
            </w:rPr>
            <w:t>(2). https://doi.org/10.1037/0033-2909.126.2.309</w:t>
          </w:r>
        </w:p>
        <w:p w14:paraId="1CD8B02D" w14:textId="77777777" w:rsidR="0000278C" w:rsidRDefault="0000278C" w:rsidP="00B42ECC">
          <w:pPr>
            <w:autoSpaceDE w:val="0"/>
            <w:autoSpaceDN w:val="0"/>
            <w:spacing w:line="276" w:lineRule="auto"/>
            <w:ind w:hanging="480"/>
            <w:divId w:val="1920940956"/>
            <w:rPr>
              <w:rFonts w:eastAsia="Times New Roman"/>
            </w:rPr>
          </w:pPr>
          <w:r>
            <w:rPr>
              <w:rFonts w:eastAsia="Times New Roman"/>
            </w:rPr>
            <w:t xml:space="preserve">Minh, A., </w:t>
          </w:r>
          <w:proofErr w:type="spellStart"/>
          <w:r>
            <w:rPr>
              <w:rFonts w:eastAsia="Times New Roman"/>
            </w:rPr>
            <w:t>Muhajarine</w:t>
          </w:r>
          <w:proofErr w:type="spellEnd"/>
          <w:r>
            <w:rPr>
              <w:rFonts w:eastAsia="Times New Roman"/>
            </w:rPr>
            <w:t xml:space="preserve">, N., Janus, M., Brownell, M., &amp; </w:t>
          </w:r>
          <w:proofErr w:type="spellStart"/>
          <w:r>
            <w:rPr>
              <w:rFonts w:eastAsia="Times New Roman"/>
            </w:rPr>
            <w:t>Guhn</w:t>
          </w:r>
          <w:proofErr w:type="spellEnd"/>
          <w:r>
            <w:rPr>
              <w:rFonts w:eastAsia="Times New Roman"/>
            </w:rPr>
            <w:t xml:space="preserve">, M. (2017). A review of </w:t>
          </w:r>
          <w:proofErr w:type="spellStart"/>
          <w:r>
            <w:rPr>
              <w:rFonts w:eastAsia="Times New Roman"/>
            </w:rPr>
            <w:t>neighborhood</w:t>
          </w:r>
          <w:proofErr w:type="spellEnd"/>
          <w:r>
            <w:rPr>
              <w:rFonts w:eastAsia="Times New Roman"/>
            </w:rPr>
            <w:t xml:space="preserve"> effects and early child development: How, where, and for whom, do </w:t>
          </w:r>
          <w:proofErr w:type="spellStart"/>
          <w:r>
            <w:rPr>
              <w:rFonts w:eastAsia="Times New Roman"/>
            </w:rPr>
            <w:t>neighborhoods</w:t>
          </w:r>
          <w:proofErr w:type="spellEnd"/>
          <w:r>
            <w:rPr>
              <w:rFonts w:eastAsia="Times New Roman"/>
            </w:rPr>
            <w:t xml:space="preserve"> matter? </w:t>
          </w:r>
          <w:r>
            <w:rPr>
              <w:rFonts w:eastAsia="Times New Roman"/>
              <w:i/>
              <w:iCs/>
            </w:rPr>
            <w:t>Health &amp; Place</w:t>
          </w:r>
          <w:r>
            <w:rPr>
              <w:rFonts w:eastAsia="Times New Roman"/>
            </w:rPr>
            <w:t xml:space="preserve">, </w:t>
          </w:r>
          <w:r>
            <w:rPr>
              <w:rFonts w:eastAsia="Times New Roman"/>
              <w:i/>
              <w:iCs/>
            </w:rPr>
            <w:t>46</w:t>
          </w:r>
          <w:r>
            <w:rPr>
              <w:rFonts w:eastAsia="Times New Roman"/>
            </w:rPr>
            <w:t>, 155–174. https://doi.org/https://doi.org/10.1016/j.healthplace.2017.04.012</w:t>
          </w:r>
        </w:p>
        <w:p w14:paraId="3FEB8172" w14:textId="77777777" w:rsidR="0000278C" w:rsidRDefault="0000278C" w:rsidP="00B42ECC">
          <w:pPr>
            <w:autoSpaceDE w:val="0"/>
            <w:autoSpaceDN w:val="0"/>
            <w:spacing w:line="276" w:lineRule="auto"/>
            <w:ind w:hanging="480"/>
            <w:divId w:val="1708332313"/>
            <w:rPr>
              <w:rFonts w:eastAsia="Times New Roman"/>
            </w:rPr>
          </w:pPr>
          <w:r w:rsidRPr="0000278C">
            <w:rPr>
              <w:rFonts w:eastAsia="Times New Roman"/>
              <w:lang w:val="da-DK"/>
            </w:rPr>
            <w:t xml:space="preserve">Visser, K., Bolt, G., </w:t>
          </w:r>
          <w:proofErr w:type="spellStart"/>
          <w:r w:rsidRPr="0000278C">
            <w:rPr>
              <w:rFonts w:eastAsia="Times New Roman"/>
              <w:lang w:val="da-DK"/>
            </w:rPr>
            <w:t>Finkenauer</w:t>
          </w:r>
          <w:proofErr w:type="spellEnd"/>
          <w:r w:rsidRPr="0000278C">
            <w:rPr>
              <w:rFonts w:eastAsia="Times New Roman"/>
              <w:lang w:val="da-DK"/>
            </w:rPr>
            <w:t xml:space="preserve">, C., </w:t>
          </w:r>
          <w:proofErr w:type="spellStart"/>
          <w:r w:rsidRPr="0000278C">
            <w:rPr>
              <w:rFonts w:eastAsia="Times New Roman"/>
              <w:lang w:val="da-DK"/>
            </w:rPr>
            <w:t>Jonker</w:t>
          </w:r>
          <w:proofErr w:type="spellEnd"/>
          <w:r w:rsidRPr="0000278C">
            <w:rPr>
              <w:rFonts w:eastAsia="Times New Roman"/>
              <w:lang w:val="da-DK"/>
            </w:rPr>
            <w:t xml:space="preserve">, M., </w:t>
          </w:r>
          <w:proofErr w:type="spellStart"/>
          <w:r w:rsidRPr="0000278C">
            <w:rPr>
              <w:rFonts w:eastAsia="Times New Roman"/>
              <w:lang w:val="da-DK"/>
            </w:rPr>
            <w:t>Weinberg</w:t>
          </w:r>
          <w:proofErr w:type="spellEnd"/>
          <w:r w:rsidRPr="0000278C">
            <w:rPr>
              <w:rFonts w:eastAsia="Times New Roman"/>
              <w:lang w:val="da-DK"/>
            </w:rPr>
            <w:t xml:space="preserve">, D., &amp; Stevens, G. W. J. M. (2021). </w:t>
          </w:r>
          <w:r>
            <w:rPr>
              <w:rFonts w:eastAsia="Times New Roman"/>
            </w:rPr>
            <w:t xml:space="preserve">Neighbourhood deprivation effects on young people’s mental health and well-being: A systematic review of the literature. In </w:t>
          </w:r>
          <w:r>
            <w:rPr>
              <w:rFonts w:eastAsia="Times New Roman"/>
              <w:i/>
              <w:iCs/>
            </w:rPr>
            <w:t>Social Science and Medicine</w:t>
          </w:r>
          <w:r>
            <w:rPr>
              <w:rFonts w:eastAsia="Times New Roman"/>
            </w:rPr>
            <w:t xml:space="preserve"> (Vol. 270). https://doi.org/10.1016/j.socscimed.2020.113542</w:t>
          </w:r>
        </w:p>
        <w:p w14:paraId="338BBB34" w14:textId="48D1B6C0" w:rsidR="00F20338" w:rsidRPr="00A459E1" w:rsidRDefault="0000278C" w:rsidP="00B42ECC">
          <w:pPr>
            <w:spacing w:line="276" w:lineRule="auto"/>
            <w:jc w:val="both"/>
            <w:rPr>
              <w:rFonts w:cs="Times New Roman"/>
              <w:color w:val="000000" w:themeColor="text1"/>
            </w:rPr>
          </w:pPr>
          <w:r>
            <w:rPr>
              <w:rFonts w:eastAsia="Times New Roman"/>
            </w:rPr>
            <w:t> </w:t>
          </w:r>
        </w:p>
      </w:sdtContent>
    </w:sdt>
    <w:p w14:paraId="7F46D813" w14:textId="77777777" w:rsidR="00473DFD" w:rsidRPr="00A459E1" w:rsidRDefault="00473DFD" w:rsidP="0076238A">
      <w:pPr>
        <w:spacing w:line="276" w:lineRule="auto"/>
      </w:pPr>
    </w:p>
    <w:sectPr w:rsidR="00473DFD" w:rsidRPr="00A459E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1NDI1NzY1MzQ3MbdU0lEKTi0uzszPAykwrgUAAXpqOSwAAAA="/>
  </w:docVars>
  <w:rsids>
    <w:rsidRoot w:val="009E6CCF"/>
    <w:rsid w:val="0000278C"/>
    <w:rsid w:val="00033B92"/>
    <w:rsid w:val="00037D33"/>
    <w:rsid w:val="00043B60"/>
    <w:rsid w:val="00076E99"/>
    <w:rsid w:val="00082A76"/>
    <w:rsid w:val="000A6DAC"/>
    <w:rsid w:val="000D354D"/>
    <w:rsid w:val="000E2E54"/>
    <w:rsid w:val="00100A65"/>
    <w:rsid w:val="00121615"/>
    <w:rsid w:val="00137C0D"/>
    <w:rsid w:val="0015003E"/>
    <w:rsid w:val="00192690"/>
    <w:rsid w:val="00194960"/>
    <w:rsid w:val="00234E53"/>
    <w:rsid w:val="00271CD1"/>
    <w:rsid w:val="002B26DF"/>
    <w:rsid w:val="002B33D5"/>
    <w:rsid w:val="002C3181"/>
    <w:rsid w:val="002E3706"/>
    <w:rsid w:val="002F4DCE"/>
    <w:rsid w:val="0033793E"/>
    <w:rsid w:val="00351B75"/>
    <w:rsid w:val="003B6B99"/>
    <w:rsid w:val="003D7567"/>
    <w:rsid w:val="003D7C52"/>
    <w:rsid w:val="0042648E"/>
    <w:rsid w:val="004373AD"/>
    <w:rsid w:val="00443D9F"/>
    <w:rsid w:val="00472D27"/>
    <w:rsid w:val="00473DFD"/>
    <w:rsid w:val="004A5283"/>
    <w:rsid w:val="004B65BA"/>
    <w:rsid w:val="004C7A67"/>
    <w:rsid w:val="00593348"/>
    <w:rsid w:val="00594B9B"/>
    <w:rsid w:val="005C067B"/>
    <w:rsid w:val="005C42C7"/>
    <w:rsid w:val="005C7DED"/>
    <w:rsid w:val="0060615A"/>
    <w:rsid w:val="00677297"/>
    <w:rsid w:val="006B1FFE"/>
    <w:rsid w:val="007019FD"/>
    <w:rsid w:val="00707BDE"/>
    <w:rsid w:val="0076238A"/>
    <w:rsid w:val="00793D69"/>
    <w:rsid w:val="007B1211"/>
    <w:rsid w:val="007B28EC"/>
    <w:rsid w:val="007F7B5C"/>
    <w:rsid w:val="00805D46"/>
    <w:rsid w:val="00842D8E"/>
    <w:rsid w:val="00871D0F"/>
    <w:rsid w:val="00874E7C"/>
    <w:rsid w:val="0087783D"/>
    <w:rsid w:val="00881A84"/>
    <w:rsid w:val="008A2D50"/>
    <w:rsid w:val="008A6A76"/>
    <w:rsid w:val="008E1889"/>
    <w:rsid w:val="008F12E0"/>
    <w:rsid w:val="00907400"/>
    <w:rsid w:val="00924043"/>
    <w:rsid w:val="00925CA1"/>
    <w:rsid w:val="00974586"/>
    <w:rsid w:val="009C0F77"/>
    <w:rsid w:val="009C6B51"/>
    <w:rsid w:val="009E24F1"/>
    <w:rsid w:val="009E6CCF"/>
    <w:rsid w:val="00A032DB"/>
    <w:rsid w:val="00A0708B"/>
    <w:rsid w:val="00A138EA"/>
    <w:rsid w:val="00A147BE"/>
    <w:rsid w:val="00A2710E"/>
    <w:rsid w:val="00A34712"/>
    <w:rsid w:val="00A459E1"/>
    <w:rsid w:val="00A60D3E"/>
    <w:rsid w:val="00A63EFC"/>
    <w:rsid w:val="00A7432B"/>
    <w:rsid w:val="00A83680"/>
    <w:rsid w:val="00AA3936"/>
    <w:rsid w:val="00AB4FF9"/>
    <w:rsid w:val="00AD4225"/>
    <w:rsid w:val="00B122F4"/>
    <w:rsid w:val="00B42ECC"/>
    <w:rsid w:val="00B430A5"/>
    <w:rsid w:val="00B54A75"/>
    <w:rsid w:val="00B551E7"/>
    <w:rsid w:val="00B66C16"/>
    <w:rsid w:val="00BC557E"/>
    <w:rsid w:val="00BE78A9"/>
    <w:rsid w:val="00C01FE4"/>
    <w:rsid w:val="00C12D8A"/>
    <w:rsid w:val="00C349F4"/>
    <w:rsid w:val="00C455B3"/>
    <w:rsid w:val="00C46BB6"/>
    <w:rsid w:val="00C66A14"/>
    <w:rsid w:val="00C747FE"/>
    <w:rsid w:val="00CA7D0F"/>
    <w:rsid w:val="00CC0698"/>
    <w:rsid w:val="00CD2B25"/>
    <w:rsid w:val="00CD69BF"/>
    <w:rsid w:val="00CF7C20"/>
    <w:rsid w:val="00D04273"/>
    <w:rsid w:val="00D05FE2"/>
    <w:rsid w:val="00D07ECC"/>
    <w:rsid w:val="00D27652"/>
    <w:rsid w:val="00D27BFC"/>
    <w:rsid w:val="00D417CF"/>
    <w:rsid w:val="00D47D1F"/>
    <w:rsid w:val="00D7090C"/>
    <w:rsid w:val="00D75884"/>
    <w:rsid w:val="00D86538"/>
    <w:rsid w:val="00D94990"/>
    <w:rsid w:val="00DC76C8"/>
    <w:rsid w:val="00DD1240"/>
    <w:rsid w:val="00DF01E0"/>
    <w:rsid w:val="00E32703"/>
    <w:rsid w:val="00E5080A"/>
    <w:rsid w:val="00E556E3"/>
    <w:rsid w:val="00E71488"/>
    <w:rsid w:val="00E73A9B"/>
    <w:rsid w:val="00EA402B"/>
    <w:rsid w:val="00ED73D9"/>
    <w:rsid w:val="00EF79C2"/>
    <w:rsid w:val="00F20338"/>
    <w:rsid w:val="00F71D7C"/>
    <w:rsid w:val="00F83134"/>
    <w:rsid w:val="00FE07A8"/>
    <w:rsid w:val="00FE1F81"/>
    <w:rsid w:val="00FE76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DB623"/>
  <w15:chartTrackingRefBased/>
  <w15:docId w15:val="{7CEEFB47-683D-4B60-B0D0-0EFA1B62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CCF"/>
    <w:rPr>
      <w:rFonts w:ascii="Times New Roman" w:hAnsi="Times New Roman"/>
      <w:lang w:val="en-GB"/>
    </w:rPr>
  </w:style>
  <w:style w:type="paragraph" w:styleId="Heading1">
    <w:name w:val="heading 1"/>
    <w:basedOn w:val="Normal"/>
    <w:next w:val="Normal"/>
    <w:link w:val="Heading1Char"/>
    <w:uiPriority w:val="9"/>
    <w:qFormat/>
    <w:rsid w:val="009E6CCF"/>
    <w:pPr>
      <w:spacing w:line="480" w:lineRule="auto"/>
      <w:outlineLvl w:val="0"/>
    </w:pPr>
    <w:rPr>
      <w:rFonts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CCF"/>
    <w:rPr>
      <w:rFonts w:ascii="Times New Roman" w:hAnsi="Times New Roman" w:cs="Times New Roman"/>
      <w:b/>
      <w:bCs/>
      <w:lang w:val="en-GB"/>
    </w:rPr>
  </w:style>
  <w:style w:type="character" w:styleId="Hyperlink">
    <w:name w:val="Hyperlink"/>
    <w:basedOn w:val="DefaultParagraphFont"/>
    <w:uiPriority w:val="99"/>
    <w:unhideWhenUsed/>
    <w:rsid w:val="008A6A76"/>
    <w:rPr>
      <w:color w:val="0563C1" w:themeColor="hyperlink"/>
      <w:u w:val="single"/>
    </w:rPr>
  </w:style>
  <w:style w:type="character" w:styleId="UnresolvedMention">
    <w:name w:val="Unresolved Mention"/>
    <w:basedOn w:val="DefaultParagraphFont"/>
    <w:uiPriority w:val="99"/>
    <w:semiHidden/>
    <w:unhideWhenUsed/>
    <w:rsid w:val="008A6A76"/>
    <w:rPr>
      <w:color w:val="605E5C"/>
      <w:shd w:val="clear" w:color="auto" w:fill="E1DFDD"/>
    </w:rPr>
  </w:style>
  <w:style w:type="character" w:styleId="PlaceholderText">
    <w:name w:val="Placeholder Text"/>
    <w:basedOn w:val="DefaultParagraphFont"/>
    <w:uiPriority w:val="99"/>
    <w:semiHidden/>
    <w:rsid w:val="008E18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0032">
      <w:bodyDiv w:val="1"/>
      <w:marLeft w:val="0"/>
      <w:marRight w:val="0"/>
      <w:marTop w:val="0"/>
      <w:marBottom w:val="0"/>
      <w:divBdr>
        <w:top w:val="none" w:sz="0" w:space="0" w:color="auto"/>
        <w:left w:val="none" w:sz="0" w:space="0" w:color="auto"/>
        <w:bottom w:val="none" w:sz="0" w:space="0" w:color="auto"/>
        <w:right w:val="none" w:sz="0" w:space="0" w:color="auto"/>
      </w:divBdr>
      <w:divsChild>
        <w:div w:id="1129979323">
          <w:marLeft w:val="480"/>
          <w:marRight w:val="0"/>
          <w:marTop w:val="0"/>
          <w:marBottom w:val="0"/>
          <w:divBdr>
            <w:top w:val="none" w:sz="0" w:space="0" w:color="auto"/>
            <w:left w:val="none" w:sz="0" w:space="0" w:color="auto"/>
            <w:bottom w:val="none" w:sz="0" w:space="0" w:color="auto"/>
            <w:right w:val="none" w:sz="0" w:space="0" w:color="auto"/>
          </w:divBdr>
        </w:div>
        <w:div w:id="469975699">
          <w:marLeft w:val="480"/>
          <w:marRight w:val="0"/>
          <w:marTop w:val="0"/>
          <w:marBottom w:val="0"/>
          <w:divBdr>
            <w:top w:val="none" w:sz="0" w:space="0" w:color="auto"/>
            <w:left w:val="none" w:sz="0" w:space="0" w:color="auto"/>
            <w:bottom w:val="none" w:sz="0" w:space="0" w:color="auto"/>
            <w:right w:val="none" w:sz="0" w:space="0" w:color="auto"/>
          </w:divBdr>
        </w:div>
        <w:div w:id="473261654">
          <w:marLeft w:val="480"/>
          <w:marRight w:val="0"/>
          <w:marTop w:val="0"/>
          <w:marBottom w:val="0"/>
          <w:divBdr>
            <w:top w:val="none" w:sz="0" w:space="0" w:color="auto"/>
            <w:left w:val="none" w:sz="0" w:space="0" w:color="auto"/>
            <w:bottom w:val="none" w:sz="0" w:space="0" w:color="auto"/>
            <w:right w:val="none" w:sz="0" w:space="0" w:color="auto"/>
          </w:divBdr>
        </w:div>
        <w:div w:id="144857394">
          <w:marLeft w:val="480"/>
          <w:marRight w:val="0"/>
          <w:marTop w:val="0"/>
          <w:marBottom w:val="0"/>
          <w:divBdr>
            <w:top w:val="none" w:sz="0" w:space="0" w:color="auto"/>
            <w:left w:val="none" w:sz="0" w:space="0" w:color="auto"/>
            <w:bottom w:val="none" w:sz="0" w:space="0" w:color="auto"/>
            <w:right w:val="none" w:sz="0" w:space="0" w:color="auto"/>
          </w:divBdr>
        </w:div>
      </w:divsChild>
    </w:div>
    <w:div w:id="287980561">
      <w:bodyDiv w:val="1"/>
      <w:marLeft w:val="0"/>
      <w:marRight w:val="0"/>
      <w:marTop w:val="0"/>
      <w:marBottom w:val="0"/>
      <w:divBdr>
        <w:top w:val="none" w:sz="0" w:space="0" w:color="auto"/>
        <w:left w:val="none" w:sz="0" w:space="0" w:color="auto"/>
        <w:bottom w:val="none" w:sz="0" w:space="0" w:color="auto"/>
        <w:right w:val="none" w:sz="0" w:space="0" w:color="auto"/>
      </w:divBdr>
    </w:div>
    <w:div w:id="303312065">
      <w:bodyDiv w:val="1"/>
      <w:marLeft w:val="0"/>
      <w:marRight w:val="0"/>
      <w:marTop w:val="0"/>
      <w:marBottom w:val="0"/>
      <w:divBdr>
        <w:top w:val="none" w:sz="0" w:space="0" w:color="auto"/>
        <w:left w:val="none" w:sz="0" w:space="0" w:color="auto"/>
        <w:bottom w:val="none" w:sz="0" w:space="0" w:color="auto"/>
        <w:right w:val="none" w:sz="0" w:space="0" w:color="auto"/>
      </w:divBdr>
    </w:div>
    <w:div w:id="785344327">
      <w:bodyDiv w:val="1"/>
      <w:marLeft w:val="0"/>
      <w:marRight w:val="0"/>
      <w:marTop w:val="0"/>
      <w:marBottom w:val="0"/>
      <w:divBdr>
        <w:top w:val="none" w:sz="0" w:space="0" w:color="auto"/>
        <w:left w:val="none" w:sz="0" w:space="0" w:color="auto"/>
        <w:bottom w:val="none" w:sz="0" w:space="0" w:color="auto"/>
        <w:right w:val="none" w:sz="0" w:space="0" w:color="auto"/>
      </w:divBdr>
    </w:div>
    <w:div w:id="867791899">
      <w:bodyDiv w:val="1"/>
      <w:marLeft w:val="0"/>
      <w:marRight w:val="0"/>
      <w:marTop w:val="0"/>
      <w:marBottom w:val="0"/>
      <w:divBdr>
        <w:top w:val="none" w:sz="0" w:space="0" w:color="auto"/>
        <w:left w:val="none" w:sz="0" w:space="0" w:color="auto"/>
        <w:bottom w:val="none" w:sz="0" w:space="0" w:color="auto"/>
        <w:right w:val="none" w:sz="0" w:space="0" w:color="auto"/>
      </w:divBdr>
      <w:divsChild>
        <w:div w:id="1394084532">
          <w:marLeft w:val="640"/>
          <w:marRight w:val="0"/>
          <w:marTop w:val="0"/>
          <w:marBottom w:val="0"/>
          <w:divBdr>
            <w:top w:val="none" w:sz="0" w:space="0" w:color="auto"/>
            <w:left w:val="none" w:sz="0" w:space="0" w:color="auto"/>
            <w:bottom w:val="none" w:sz="0" w:space="0" w:color="auto"/>
            <w:right w:val="none" w:sz="0" w:space="0" w:color="auto"/>
          </w:divBdr>
        </w:div>
        <w:div w:id="926497095">
          <w:marLeft w:val="640"/>
          <w:marRight w:val="0"/>
          <w:marTop w:val="0"/>
          <w:marBottom w:val="0"/>
          <w:divBdr>
            <w:top w:val="none" w:sz="0" w:space="0" w:color="auto"/>
            <w:left w:val="none" w:sz="0" w:space="0" w:color="auto"/>
            <w:bottom w:val="none" w:sz="0" w:space="0" w:color="auto"/>
            <w:right w:val="none" w:sz="0" w:space="0" w:color="auto"/>
          </w:divBdr>
        </w:div>
        <w:div w:id="1741175661">
          <w:marLeft w:val="640"/>
          <w:marRight w:val="0"/>
          <w:marTop w:val="0"/>
          <w:marBottom w:val="0"/>
          <w:divBdr>
            <w:top w:val="none" w:sz="0" w:space="0" w:color="auto"/>
            <w:left w:val="none" w:sz="0" w:space="0" w:color="auto"/>
            <w:bottom w:val="none" w:sz="0" w:space="0" w:color="auto"/>
            <w:right w:val="none" w:sz="0" w:space="0" w:color="auto"/>
          </w:divBdr>
        </w:div>
        <w:div w:id="1527211163">
          <w:marLeft w:val="640"/>
          <w:marRight w:val="0"/>
          <w:marTop w:val="0"/>
          <w:marBottom w:val="0"/>
          <w:divBdr>
            <w:top w:val="none" w:sz="0" w:space="0" w:color="auto"/>
            <w:left w:val="none" w:sz="0" w:space="0" w:color="auto"/>
            <w:bottom w:val="none" w:sz="0" w:space="0" w:color="auto"/>
            <w:right w:val="none" w:sz="0" w:space="0" w:color="auto"/>
          </w:divBdr>
        </w:div>
      </w:divsChild>
    </w:div>
    <w:div w:id="914515152">
      <w:bodyDiv w:val="1"/>
      <w:marLeft w:val="0"/>
      <w:marRight w:val="0"/>
      <w:marTop w:val="0"/>
      <w:marBottom w:val="0"/>
      <w:divBdr>
        <w:top w:val="none" w:sz="0" w:space="0" w:color="auto"/>
        <w:left w:val="none" w:sz="0" w:space="0" w:color="auto"/>
        <w:bottom w:val="none" w:sz="0" w:space="0" w:color="auto"/>
        <w:right w:val="none" w:sz="0" w:space="0" w:color="auto"/>
      </w:divBdr>
      <w:divsChild>
        <w:div w:id="2002542058">
          <w:marLeft w:val="640"/>
          <w:marRight w:val="0"/>
          <w:marTop w:val="0"/>
          <w:marBottom w:val="0"/>
          <w:divBdr>
            <w:top w:val="none" w:sz="0" w:space="0" w:color="auto"/>
            <w:left w:val="none" w:sz="0" w:space="0" w:color="auto"/>
            <w:bottom w:val="none" w:sz="0" w:space="0" w:color="auto"/>
            <w:right w:val="none" w:sz="0" w:space="0" w:color="auto"/>
          </w:divBdr>
        </w:div>
        <w:div w:id="125393707">
          <w:marLeft w:val="640"/>
          <w:marRight w:val="0"/>
          <w:marTop w:val="0"/>
          <w:marBottom w:val="0"/>
          <w:divBdr>
            <w:top w:val="none" w:sz="0" w:space="0" w:color="auto"/>
            <w:left w:val="none" w:sz="0" w:space="0" w:color="auto"/>
            <w:bottom w:val="none" w:sz="0" w:space="0" w:color="auto"/>
            <w:right w:val="none" w:sz="0" w:space="0" w:color="auto"/>
          </w:divBdr>
        </w:div>
        <w:div w:id="888229927">
          <w:marLeft w:val="640"/>
          <w:marRight w:val="0"/>
          <w:marTop w:val="0"/>
          <w:marBottom w:val="0"/>
          <w:divBdr>
            <w:top w:val="none" w:sz="0" w:space="0" w:color="auto"/>
            <w:left w:val="none" w:sz="0" w:space="0" w:color="auto"/>
            <w:bottom w:val="none" w:sz="0" w:space="0" w:color="auto"/>
            <w:right w:val="none" w:sz="0" w:space="0" w:color="auto"/>
          </w:divBdr>
        </w:div>
        <w:div w:id="2091926340">
          <w:marLeft w:val="640"/>
          <w:marRight w:val="0"/>
          <w:marTop w:val="0"/>
          <w:marBottom w:val="0"/>
          <w:divBdr>
            <w:top w:val="none" w:sz="0" w:space="0" w:color="auto"/>
            <w:left w:val="none" w:sz="0" w:space="0" w:color="auto"/>
            <w:bottom w:val="none" w:sz="0" w:space="0" w:color="auto"/>
            <w:right w:val="none" w:sz="0" w:space="0" w:color="auto"/>
          </w:divBdr>
        </w:div>
      </w:divsChild>
    </w:div>
    <w:div w:id="970793782">
      <w:bodyDiv w:val="1"/>
      <w:marLeft w:val="0"/>
      <w:marRight w:val="0"/>
      <w:marTop w:val="0"/>
      <w:marBottom w:val="0"/>
      <w:divBdr>
        <w:top w:val="none" w:sz="0" w:space="0" w:color="auto"/>
        <w:left w:val="none" w:sz="0" w:space="0" w:color="auto"/>
        <w:bottom w:val="none" w:sz="0" w:space="0" w:color="auto"/>
        <w:right w:val="none" w:sz="0" w:space="0" w:color="auto"/>
      </w:divBdr>
      <w:divsChild>
        <w:div w:id="1240284260">
          <w:marLeft w:val="640"/>
          <w:marRight w:val="0"/>
          <w:marTop w:val="0"/>
          <w:marBottom w:val="0"/>
          <w:divBdr>
            <w:top w:val="none" w:sz="0" w:space="0" w:color="auto"/>
            <w:left w:val="none" w:sz="0" w:space="0" w:color="auto"/>
            <w:bottom w:val="none" w:sz="0" w:space="0" w:color="auto"/>
            <w:right w:val="none" w:sz="0" w:space="0" w:color="auto"/>
          </w:divBdr>
        </w:div>
        <w:div w:id="1802843710">
          <w:marLeft w:val="640"/>
          <w:marRight w:val="0"/>
          <w:marTop w:val="0"/>
          <w:marBottom w:val="0"/>
          <w:divBdr>
            <w:top w:val="none" w:sz="0" w:space="0" w:color="auto"/>
            <w:left w:val="none" w:sz="0" w:space="0" w:color="auto"/>
            <w:bottom w:val="none" w:sz="0" w:space="0" w:color="auto"/>
            <w:right w:val="none" w:sz="0" w:space="0" w:color="auto"/>
          </w:divBdr>
        </w:div>
        <w:div w:id="2000883031">
          <w:marLeft w:val="640"/>
          <w:marRight w:val="0"/>
          <w:marTop w:val="0"/>
          <w:marBottom w:val="0"/>
          <w:divBdr>
            <w:top w:val="none" w:sz="0" w:space="0" w:color="auto"/>
            <w:left w:val="none" w:sz="0" w:space="0" w:color="auto"/>
            <w:bottom w:val="none" w:sz="0" w:space="0" w:color="auto"/>
            <w:right w:val="none" w:sz="0" w:space="0" w:color="auto"/>
          </w:divBdr>
        </w:div>
        <w:div w:id="1203052691">
          <w:marLeft w:val="640"/>
          <w:marRight w:val="0"/>
          <w:marTop w:val="0"/>
          <w:marBottom w:val="0"/>
          <w:divBdr>
            <w:top w:val="none" w:sz="0" w:space="0" w:color="auto"/>
            <w:left w:val="none" w:sz="0" w:space="0" w:color="auto"/>
            <w:bottom w:val="none" w:sz="0" w:space="0" w:color="auto"/>
            <w:right w:val="none" w:sz="0" w:space="0" w:color="auto"/>
          </w:divBdr>
        </w:div>
      </w:divsChild>
    </w:div>
    <w:div w:id="1011758147">
      <w:bodyDiv w:val="1"/>
      <w:marLeft w:val="0"/>
      <w:marRight w:val="0"/>
      <w:marTop w:val="0"/>
      <w:marBottom w:val="0"/>
      <w:divBdr>
        <w:top w:val="none" w:sz="0" w:space="0" w:color="auto"/>
        <w:left w:val="none" w:sz="0" w:space="0" w:color="auto"/>
        <w:bottom w:val="none" w:sz="0" w:space="0" w:color="auto"/>
        <w:right w:val="none" w:sz="0" w:space="0" w:color="auto"/>
      </w:divBdr>
      <w:divsChild>
        <w:div w:id="2068989930">
          <w:marLeft w:val="640"/>
          <w:marRight w:val="0"/>
          <w:marTop w:val="0"/>
          <w:marBottom w:val="0"/>
          <w:divBdr>
            <w:top w:val="none" w:sz="0" w:space="0" w:color="auto"/>
            <w:left w:val="none" w:sz="0" w:space="0" w:color="auto"/>
            <w:bottom w:val="none" w:sz="0" w:space="0" w:color="auto"/>
            <w:right w:val="none" w:sz="0" w:space="0" w:color="auto"/>
          </w:divBdr>
        </w:div>
        <w:div w:id="1943413837">
          <w:marLeft w:val="640"/>
          <w:marRight w:val="0"/>
          <w:marTop w:val="0"/>
          <w:marBottom w:val="0"/>
          <w:divBdr>
            <w:top w:val="none" w:sz="0" w:space="0" w:color="auto"/>
            <w:left w:val="none" w:sz="0" w:space="0" w:color="auto"/>
            <w:bottom w:val="none" w:sz="0" w:space="0" w:color="auto"/>
            <w:right w:val="none" w:sz="0" w:space="0" w:color="auto"/>
          </w:divBdr>
        </w:div>
        <w:div w:id="716393418">
          <w:marLeft w:val="640"/>
          <w:marRight w:val="0"/>
          <w:marTop w:val="0"/>
          <w:marBottom w:val="0"/>
          <w:divBdr>
            <w:top w:val="none" w:sz="0" w:space="0" w:color="auto"/>
            <w:left w:val="none" w:sz="0" w:space="0" w:color="auto"/>
            <w:bottom w:val="none" w:sz="0" w:space="0" w:color="auto"/>
            <w:right w:val="none" w:sz="0" w:space="0" w:color="auto"/>
          </w:divBdr>
        </w:div>
        <w:div w:id="907615943">
          <w:marLeft w:val="640"/>
          <w:marRight w:val="0"/>
          <w:marTop w:val="0"/>
          <w:marBottom w:val="0"/>
          <w:divBdr>
            <w:top w:val="none" w:sz="0" w:space="0" w:color="auto"/>
            <w:left w:val="none" w:sz="0" w:space="0" w:color="auto"/>
            <w:bottom w:val="none" w:sz="0" w:space="0" w:color="auto"/>
            <w:right w:val="none" w:sz="0" w:space="0" w:color="auto"/>
          </w:divBdr>
        </w:div>
      </w:divsChild>
    </w:div>
    <w:div w:id="1045713162">
      <w:bodyDiv w:val="1"/>
      <w:marLeft w:val="0"/>
      <w:marRight w:val="0"/>
      <w:marTop w:val="0"/>
      <w:marBottom w:val="0"/>
      <w:divBdr>
        <w:top w:val="none" w:sz="0" w:space="0" w:color="auto"/>
        <w:left w:val="none" w:sz="0" w:space="0" w:color="auto"/>
        <w:bottom w:val="none" w:sz="0" w:space="0" w:color="auto"/>
        <w:right w:val="none" w:sz="0" w:space="0" w:color="auto"/>
      </w:divBdr>
    </w:div>
    <w:div w:id="1077749982">
      <w:bodyDiv w:val="1"/>
      <w:marLeft w:val="0"/>
      <w:marRight w:val="0"/>
      <w:marTop w:val="0"/>
      <w:marBottom w:val="0"/>
      <w:divBdr>
        <w:top w:val="none" w:sz="0" w:space="0" w:color="auto"/>
        <w:left w:val="none" w:sz="0" w:space="0" w:color="auto"/>
        <w:bottom w:val="none" w:sz="0" w:space="0" w:color="auto"/>
        <w:right w:val="none" w:sz="0" w:space="0" w:color="auto"/>
      </w:divBdr>
    </w:div>
    <w:div w:id="1117718368">
      <w:bodyDiv w:val="1"/>
      <w:marLeft w:val="0"/>
      <w:marRight w:val="0"/>
      <w:marTop w:val="0"/>
      <w:marBottom w:val="0"/>
      <w:divBdr>
        <w:top w:val="none" w:sz="0" w:space="0" w:color="auto"/>
        <w:left w:val="none" w:sz="0" w:space="0" w:color="auto"/>
        <w:bottom w:val="none" w:sz="0" w:space="0" w:color="auto"/>
        <w:right w:val="none" w:sz="0" w:space="0" w:color="auto"/>
      </w:divBdr>
    </w:div>
    <w:div w:id="1234774372">
      <w:bodyDiv w:val="1"/>
      <w:marLeft w:val="0"/>
      <w:marRight w:val="0"/>
      <w:marTop w:val="0"/>
      <w:marBottom w:val="0"/>
      <w:divBdr>
        <w:top w:val="none" w:sz="0" w:space="0" w:color="auto"/>
        <w:left w:val="none" w:sz="0" w:space="0" w:color="auto"/>
        <w:bottom w:val="none" w:sz="0" w:space="0" w:color="auto"/>
        <w:right w:val="none" w:sz="0" w:space="0" w:color="auto"/>
      </w:divBdr>
    </w:div>
    <w:div w:id="1810705403">
      <w:bodyDiv w:val="1"/>
      <w:marLeft w:val="0"/>
      <w:marRight w:val="0"/>
      <w:marTop w:val="0"/>
      <w:marBottom w:val="0"/>
      <w:divBdr>
        <w:top w:val="none" w:sz="0" w:space="0" w:color="auto"/>
        <w:left w:val="none" w:sz="0" w:space="0" w:color="auto"/>
        <w:bottom w:val="none" w:sz="0" w:space="0" w:color="auto"/>
        <w:right w:val="none" w:sz="0" w:space="0" w:color="auto"/>
      </w:divBdr>
      <w:divsChild>
        <w:div w:id="1413504802">
          <w:marLeft w:val="480"/>
          <w:marRight w:val="0"/>
          <w:marTop w:val="0"/>
          <w:marBottom w:val="0"/>
          <w:divBdr>
            <w:top w:val="none" w:sz="0" w:space="0" w:color="auto"/>
            <w:left w:val="none" w:sz="0" w:space="0" w:color="auto"/>
            <w:bottom w:val="none" w:sz="0" w:space="0" w:color="auto"/>
            <w:right w:val="none" w:sz="0" w:space="0" w:color="auto"/>
          </w:divBdr>
        </w:div>
        <w:div w:id="1107695724">
          <w:marLeft w:val="480"/>
          <w:marRight w:val="0"/>
          <w:marTop w:val="0"/>
          <w:marBottom w:val="0"/>
          <w:divBdr>
            <w:top w:val="none" w:sz="0" w:space="0" w:color="auto"/>
            <w:left w:val="none" w:sz="0" w:space="0" w:color="auto"/>
            <w:bottom w:val="none" w:sz="0" w:space="0" w:color="auto"/>
            <w:right w:val="none" w:sz="0" w:space="0" w:color="auto"/>
          </w:divBdr>
        </w:div>
        <w:div w:id="1920940956">
          <w:marLeft w:val="480"/>
          <w:marRight w:val="0"/>
          <w:marTop w:val="0"/>
          <w:marBottom w:val="0"/>
          <w:divBdr>
            <w:top w:val="none" w:sz="0" w:space="0" w:color="auto"/>
            <w:left w:val="none" w:sz="0" w:space="0" w:color="auto"/>
            <w:bottom w:val="none" w:sz="0" w:space="0" w:color="auto"/>
            <w:right w:val="none" w:sz="0" w:space="0" w:color="auto"/>
          </w:divBdr>
        </w:div>
        <w:div w:id="1708332313">
          <w:marLeft w:val="480"/>
          <w:marRight w:val="0"/>
          <w:marTop w:val="0"/>
          <w:marBottom w:val="0"/>
          <w:divBdr>
            <w:top w:val="none" w:sz="0" w:space="0" w:color="auto"/>
            <w:left w:val="none" w:sz="0" w:space="0" w:color="auto"/>
            <w:bottom w:val="none" w:sz="0" w:space="0" w:color="auto"/>
            <w:right w:val="none" w:sz="0" w:space="0" w:color="auto"/>
          </w:divBdr>
        </w:div>
      </w:divsChild>
    </w:div>
    <w:div w:id="1912228487">
      <w:bodyDiv w:val="1"/>
      <w:marLeft w:val="0"/>
      <w:marRight w:val="0"/>
      <w:marTop w:val="0"/>
      <w:marBottom w:val="0"/>
      <w:divBdr>
        <w:top w:val="none" w:sz="0" w:space="0" w:color="auto"/>
        <w:left w:val="none" w:sz="0" w:space="0" w:color="auto"/>
        <w:bottom w:val="none" w:sz="0" w:space="0" w:color="auto"/>
        <w:right w:val="none" w:sz="0" w:space="0" w:color="auto"/>
      </w:divBdr>
      <w:divsChild>
        <w:div w:id="776170973">
          <w:marLeft w:val="640"/>
          <w:marRight w:val="0"/>
          <w:marTop w:val="0"/>
          <w:marBottom w:val="0"/>
          <w:divBdr>
            <w:top w:val="none" w:sz="0" w:space="0" w:color="auto"/>
            <w:left w:val="none" w:sz="0" w:space="0" w:color="auto"/>
            <w:bottom w:val="none" w:sz="0" w:space="0" w:color="auto"/>
            <w:right w:val="none" w:sz="0" w:space="0" w:color="auto"/>
          </w:divBdr>
        </w:div>
        <w:div w:id="1896815666">
          <w:marLeft w:val="640"/>
          <w:marRight w:val="0"/>
          <w:marTop w:val="0"/>
          <w:marBottom w:val="0"/>
          <w:divBdr>
            <w:top w:val="none" w:sz="0" w:space="0" w:color="auto"/>
            <w:left w:val="none" w:sz="0" w:space="0" w:color="auto"/>
            <w:bottom w:val="none" w:sz="0" w:space="0" w:color="auto"/>
            <w:right w:val="none" w:sz="0" w:space="0" w:color="auto"/>
          </w:divBdr>
        </w:div>
        <w:div w:id="1025524109">
          <w:marLeft w:val="640"/>
          <w:marRight w:val="0"/>
          <w:marTop w:val="0"/>
          <w:marBottom w:val="0"/>
          <w:divBdr>
            <w:top w:val="none" w:sz="0" w:space="0" w:color="auto"/>
            <w:left w:val="none" w:sz="0" w:space="0" w:color="auto"/>
            <w:bottom w:val="none" w:sz="0" w:space="0" w:color="auto"/>
            <w:right w:val="none" w:sz="0" w:space="0" w:color="auto"/>
          </w:divBdr>
        </w:div>
        <w:div w:id="1758480722">
          <w:marLeft w:val="640"/>
          <w:marRight w:val="0"/>
          <w:marTop w:val="0"/>
          <w:marBottom w:val="0"/>
          <w:divBdr>
            <w:top w:val="none" w:sz="0" w:space="0" w:color="auto"/>
            <w:left w:val="none" w:sz="0" w:space="0" w:color="auto"/>
            <w:bottom w:val="none" w:sz="0" w:space="0" w:color="auto"/>
            <w:right w:val="none" w:sz="0" w:space="0" w:color="auto"/>
          </w:divBdr>
        </w:div>
      </w:divsChild>
    </w:div>
    <w:div w:id="1943025883">
      <w:bodyDiv w:val="1"/>
      <w:marLeft w:val="0"/>
      <w:marRight w:val="0"/>
      <w:marTop w:val="0"/>
      <w:marBottom w:val="0"/>
      <w:divBdr>
        <w:top w:val="none" w:sz="0" w:space="0" w:color="auto"/>
        <w:left w:val="none" w:sz="0" w:space="0" w:color="auto"/>
        <w:bottom w:val="none" w:sz="0" w:space="0" w:color="auto"/>
        <w:right w:val="none" w:sz="0" w:space="0" w:color="auto"/>
      </w:divBdr>
    </w:div>
    <w:div w:id="204763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ndreaslj@socsci.aau.dk"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30ABC01-64E3-4334-8C81-6D7E79F4BDE1}"/>
      </w:docPartPr>
      <w:docPartBody>
        <w:p w:rsidR="00DE7860" w:rsidRDefault="00DE7860">
          <w:r w:rsidRPr="005F23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60"/>
    <w:rsid w:val="00DE7860"/>
    <w:rsid w:val="00DF717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a-DK" w:eastAsia="da-D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78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A7A145-7A0F-4EC1-9241-2CDD73C529DF}">
  <we:reference id="wa104382081" version="1.55.1.0" store="da-DK" storeType="OMEX"/>
  <we:alternateReferences>
    <we:reference id="wa104382081" version="1.55.1.0" store="" storeType="OMEX"/>
  </we:alternateReferences>
  <we:properties>
    <we:property name="MENDELEY_CITATIONS" value="[{&quot;citationID&quot;:&quot;MENDELEY_CITATION_872aab5b-13e0-4c96-87b1-e817eab68c49&quot;,&quot;properties&quot;:{&quot;noteIndex&quot;:0},&quot;isEdited&quot;:false,&quot;manualOverride&quot;:{&quot;isManuallyOverridden&quot;:false,&quot;citeprocText&quot;:&quot;(Chyn &amp;#38; Katz, 2021; Leventhal &amp;#38; Brooks-Gunn, 2000; Minh et al., 2017; Visser et al., 2021)&quot;,&quot;manualOverrideText&quot;:&quot;&quot;},&quot;citationTag&quot;:&quot;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&quot;,&quot;citationItems&quot;:[{&quot;id&quot;:&quot;402cd0f2-1ac5-3ce4-b86d-112f14ea5a20&quot;,&quot;itemData&quot;:{&quot;type&quot;:&quot;article-journal&quot;,&quot;id&quot;:&quot;402cd0f2-1ac5-3ce4-b86d-112f14ea5a20&quot;,&quot;title&quot;:&quot;Neighborhoods matter: Assessing the evidence for place effects&quot;,&quot;author&quot;:[{&quot;family&quot;:&quot;Chyn&quot;,&quot;given&quot;:&quot;Eric&quot;,&quot;parse-names&quot;:false,&quot;dropping-particle&quot;:&quot;&quot;,&quot;non-dropping-particle&quot;:&quot;&quot;},{&quot;family&quot;:&quot;Katz&quot;,&quot;given&quot;:&quot;Lawrence F.&quot;,&quot;parse-names&quot;:false,&quot;dropping-particle&quot;:&quot;&quot;,&quot;non-dropping-particle&quot;:&quot;&quot;}],&quot;container-title&quot;:&quot;Journal of Economic Perspectives&quot;,&quot;DOI&quot;:&quot;10.1257/jep.35.4.197&quot;,&quot;ISSN&quot;:&quot;19447965&quot;,&quot;issued&quot;:{&quot;date-parts&quot;:[[2021]]},&quot;issue&quot;:&quot;4&quot;,&quot;volume&quot;:&quot;35&quot;,&quot;container-title-short&quot;:&quot;&quot;},&quot;isTemporary&quot;:false},{&quot;id&quot;:&quot;20264782-a30f-3e82-b076-f785218e0989&quot;,&quot;itemData&quot;:{&quot;type&quot;:&quot;article-journal&quot;,&quot;id&quot;:&quot;20264782-a30f-3e82-b076-f785218e0989&quot;,&quot;title&quot;:&quot;The Neighborhoods They Live in: The Effects of Neighborhood Residence on Child and Adolescent Outcomes&quot;,&quot;author&quot;:[{&quot;family&quot;:&quot;Leventhal&quot;,&quot;given&quot;:&quot;Tama&quot;,&quot;parse-names&quot;:false,&quot;dropping-particle&quot;:&quot;&quot;,&quot;non-dropping-particle&quot;:&quot;&quot;},{&quot;family&quot;:&quot;Brooks-Gunn&quot;,&quot;given&quot;:&quot;Jeanne&quot;,&quot;parse-names&quot;:false,&quot;dropping-particle&quot;:&quot;&quot;,&quot;non-dropping-particle&quot;:&quot;&quot;}],&quot;container-title&quot;:&quot;Psychological Bulletin&quot;,&quot;container-title-short&quot;:&quot;Psychol Bull&quot;,&quot;DOI&quot;:&quot;10.1037/0033-2909.126.2.309&quot;,&quot;ISSN&quot;:&quot;00332909&quot;,&quot;issued&quot;:{&quot;date-parts&quot;:[[2000]]},&quot;abstract&quot;:&quot;This article provides a comprehensive review of research on the effects of neighborhood residence on child and adolescent well-being. The first section reviews key methodological issues. The following section considers links between neighborhood characteristics and child outcomes and suggests the importance of high socioeconomic status (SES) for achievement and low SES and residential instability for behavioral/emotional outcomes. The third section identifies 3 pathways (institutional resources, relationships, and norms/collective efficacy) through which neighborhoods might influence development, and which represent an extension of models identified by C. Jencks and S. Mayer (1990) and R. J. Sampson (1992). The models provide a theoretical base for studying neighborhood mechanisms and specify different levels (individual, family, school, peer, community) at which processes may operate. Implications for an emerging developmental framework for research on neighborhoods are discussed. Tama Leventhal and Jeanne Brooks-Gunn, Center for Children and Families, Teachers College, Columbia University.&quot;,&quot;issue&quot;:&quot;2&quot;,&quot;volume&quot;:&quot;126&quot;},&quot;isTemporary&quot;:false},{&quot;id&quot;:&quot;d449283e-e86e-3d98-9d05-0a18dbb25c72&quot;,&quot;itemData&quot;:{&quot;type&quot;:&quot;article-journal&quot;,&quot;id&quot;:&quot;d449283e-e86e-3d98-9d05-0a18dbb25c72&quot;,&quot;title&quot;:&quot;A review of neighborhood effects and early child development: How, where, and for whom, do neighborhoods matter?&quot;,&quot;author&quot;:[{&quot;family&quot;:&quot;Minh&quot;,&quot;given&quot;:&quot;Anita&quot;,&quot;parse-names&quot;:false,&quot;dropping-particle&quot;:&quot;&quot;,&quot;non-dropping-particle&quot;:&quot;&quot;},{&quot;family&quot;:&quot;Muhajarine&quot;,&quot;given&quot;:&quot;Nazeem&quot;,&quot;parse-names&quot;:false,&quot;dropping-particle&quot;:&quot;&quot;,&quot;non-dropping-particle&quot;:&quot;&quot;},{&quot;family&quot;:&quot;Janus&quot;,&quot;given&quot;:&quot;Magdalena&quot;,&quot;parse-names&quot;:false,&quot;dropping-particle&quot;:&quot;&quot;,&quot;non-dropping-particle&quot;:&quot;&quot;},{&quot;family&quot;:&quot;Brownell&quot;,&quot;given&quot;:&quot;Marni&quot;,&quot;parse-names&quot;:false,&quot;dropping-particle&quot;:&quot;&quot;,&quot;non-dropping-particle&quot;:&quot;&quot;},{&quot;family&quot;:&quot;Guhn&quot;,&quot;given&quot;:&quot;Martin&quot;,&quot;parse-names&quot;:false,&quot;dropping-particle&quot;:&quot;&quot;,&quot;non-dropping-particle&quot;:&quot;&quot;}],&quot;container-title&quot;:&quot;Health &amp; Place&quot;,&quot;container-title-short&quot;:&quot;Health Place&quot;,&quot;DOI&quot;:&quot;https://doi.org/10.1016/j.healthplace.2017.04.012&quot;,&quot;ISSN&quot;:&quot;1353-8292&quot;,&quot;URL&quot;:&quot;http://www.sciencedirect.com/science/article/pii/S1353829216303525&quot;,&quot;issued&quot;:{&quot;date-parts&quot;:[[2017]]},&quot;page&quot;:&quot;155-174&quot;,&quot;abstract&quot;:&quot;This paper describes a scoping review of 42 studies of neighborhood effects on developmental health for children ages 0–6, published between 2009 and 2014. It focuses on three themes: (1) theoretical mechanisms that drive early childhood development, i.e. how neighborhoods matter for early childhood development; (2) dependence of such mechanisms on place-based characteristics i.e. where neighborhood effects occur; (3) dependence of such mechanisms on child characteristics, i.e. for whom is development most affected. Given that ecological systems theories postulate diverse mechanisms via which neighborhood characteristics affect early child development, we specifically examine evidence on mediation and/or moderation effects. We conclude by discussing future challenges, and proposing recommendations for analyses that utilize ecological longitudinal population-based databases.&quot;,&quot;volume&quot;:&quot;46&quot;},&quot;isTemporary&quot;:false},{&quot;id&quot;:&quot;e3070cba-256c-3a71-8882-1e1dc776af04&quot;,&quot;itemData&quot;:{&quot;type&quot;:&quot;article&quot;,&quot;id&quot;:&quot;e3070cba-256c-3a71-8882-1e1dc776af04&quot;,&quot;title&quot;:&quot;Neighbourhood deprivation effects on young people's mental health and well-being: A systematic review of the literature&quot;,&quot;author&quot;:[{&quot;family&quot;:&quot;Visser&quot;,&quot;given&quot;:&quot;Kirsten&quot;,&quot;parse-names&quot;:false,&quot;dropping-particle&quot;:&quot;&quot;,&quot;non-dropping-particle&quot;:&quot;&quot;},{&quot;family&quot;:&quot;Bolt&quot;,&quot;given&quot;:&quot;Gideon&quot;,&quot;parse-names&quot;:false,&quot;dropping-particle&quot;:&quot;&quot;,&quot;non-dropping-particle&quot;:&quot;&quot;},{&quot;family&quot;:&quot;Finkenauer&quot;,&quot;given&quot;:&quot;Catrin&quot;,&quot;parse-names&quot;:false,&quot;dropping-particle&quot;:&quot;&quot;,&quot;non-dropping-particle&quot;:&quot;&quot;},{&quot;family&quot;:&quot;Jonker&quot;,&quot;given&quot;:&quot;Merel&quot;,&quot;parse-names&quot;:false,&quot;dropping-particle&quot;:&quot;&quot;,&quot;non-dropping-particle&quot;:&quot;&quot;},{&quot;family&quot;:&quot;Weinberg&quot;,&quot;given&quot;:&quot;Dominic&quot;,&quot;parse-names&quot;:false,&quot;dropping-particle&quot;:&quot;&quot;,&quot;non-dropping-particle&quot;:&quot;&quot;},{&quot;family&quot;:&quot;Stevens&quot;,&quot;given&quot;:&quot;Gonneke W.J.M.&quot;,&quot;parse-names&quot;:false,&quot;dropping-particle&quot;:&quot;&quot;,&quot;non-dropping-particle&quot;:&quot;&quot;}],&quot;container-title&quot;:&quot;Social Science and Medicine&quot;,&quot;container-title-short&quot;:&quot;Soc Sci Med&quot;,&quot;DOI&quot;:&quot;10.1016/j.socscimed.2020.113542&quot;,&quot;ISSN&quot;:&quot;18735347&quot;,&quot;issued&quot;:{&quot;date-parts&quot;:[[2021]]},&quot;abstract&quot;:&quot;Since the growth of research into neighbourhood effects on young people's health in the 1980s, there have been major societal changes and scientific methodological advancements. In this systematic review we will, therefore, discuss the recent (&gt;2009) literature on the association between neighbourhood deprivation and young people's (0–19 years old) mental health and well-being. We focus on whether neighbourhood deprivation effects exist, and how and for whom the neighbourhood matters. Together, the thirty studies included in the review indicate that overall there are neighbourhood effects on young people's mental health and well-being. The comparison of results from these studies suggests that such associations were more commonly found for well-being and externalising problem behaviour rather than internalising problem behaviour. Also, mental health and well-being seemed to be more often associated with the neighbourhood social environment than neighbourhood socio-economic status and neighbourhood disorder. Studies investigating mediating processes between the linkage between neighbourhood deprivation and mental health and well-being were rare although there was some evidence that processes within the family and peer context are important mechanisms in this linkage. Inconsistent evidence was found regarding the moderating role of age, gender, and ethnicity. There are ongoing challenges of researching the how and for whom neighbourhoods are important. We should work towards rigorous theory and evidence on how different features of residential contexts matter and on differential exposure and vulnerability to these contexts.&quot;,&quot;volume&quot;:&quot;270&quot;},&quot;isTemporary&quot;:false}]}]"/>
    <we:property name="MENDELEY_CITATIONS_LOCALE_CODE" value="&quot;en-GB&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D73B1-BAAA-4834-B08B-3DF29FF9F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465</Words>
  <Characters>2837</Characters>
  <Application>Microsoft Office Word</Application>
  <DocSecurity>0</DocSecurity>
  <Lines>23</Lines>
  <Paragraphs>6</Paragraphs>
  <ScaleCrop>false</ScaleCrop>
  <Company>Aalborg Universitet</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Lindegaard Jakobsen</dc:creator>
  <cp:keywords/>
  <dc:description/>
  <cp:lastModifiedBy>Andreas Lindegaard Jakobsen</cp:lastModifiedBy>
  <cp:revision>49</cp:revision>
  <dcterms:created xsi:type="dcterms:W3CDTF">2024-02-23T09:25:00Z</dcterms:created>
  <dcterms:modified xsi:type="dcterms:W3CDTF">2024-02-29T09:50:00Z</dcterms:modified>
</cp:coreProperties>
</file>