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B1" w:rsidRDefault="00CD50B1"/>
    <w:p w:rsidR="00054606" w:rsidRPr="00054606" w:rsidRDefault="00054606" w:rsidP="00054606">
      <w:pPr>
        <w:spacing w:line="360" w:lineRule="auto"/>
        <w:rPr>
          <w:rFonts w:asciiTheme="minorHAnsi" w:eastAsia="Calibri" w:hAnsiTheme="minorHAnsi" w:cstheme="minorHAnsi"/>
          <w:b/>
          <w:sz w:val="28"/>
          <w:szCs w:val="28"/>
          <w:lang w:val="en-GB"/>
        </w:rPr>
      </w:pPr>
      <w:r w:rsidRPr="00054606">
        <w:rPr>
          <w:rFonts w:asciiTheme="minorHAnsi" w:eastAsia="Calibri" w:hAnsiTheme="minorHAnsi" w:cstheme="minorHAnsi"/>
          <w:b/>
          <w:sz w:val="28"/>
          <w:szCs w:val="28"/>
          <w:lang w:val="en-GB"/>
        </w:rPr>
        <w:t xml:space="preserve">Does Outsourcing of Domestic Work Reduce Gender Inequality in </w:t>
      </w:r>
      <w:proofErr w:type="spellStart"/>
      <w:r w:rsidRPr="00054606">
        <w:rPr>
          <w:rFonts w:asciiTheme="minorHAnsi" w:eastAsia="Calibri" w:hAnsiTheme="minorHAnsi" w:cstheme="minorHAnsi"/>
          <w:b/>
          <w:sz w:val="28"/>
          <w:szCs w:val="28"/>
          <w:lang w:val="en-GB"/>
        </w:rPr>
        <w:t>Labor</w:t>
      </w:r>
      <w:proofErr w:type="spellEnd"/>
      <w:r w:rsidRPr="00054606">
        <w:rPr>
          <w:rFonts w:asciiTheme="minorHAnsi" w:eastAsia="Calibri" w:hAnsiTheme="minorHAnsi" w:cstheme="minorHAnsi"/>
          <w:b/>
          <w:sz w:val="28"/>
          <w:szCs w:val="28"/>
          <w:lang w:val="en-GB"/>
        </w:rPr>
        <w:t xml:space="preserve"> Force Participation within Households? - A Couple-Level Panel Analysis </w:t>
      </w:r>
    </w:p>
    <w:p w:rsidR="00054606" w:rsidRPr="00054606" w:rsidRDefault="00054606">
      <w:pPr>
        <w:rPr>
          <w:rFonts w:asciiTheme="minorHAnsi" w:hAnsiTheme="minorHAnsi" w:cstheme="minorHAnsi"/>
          <w:lang w:val="en-GB"/>
        </w:rPr>
      </w:pPr>
    </w:p>
    <w:p w:rsidR="00054606" w:rsidRDefault="00054606">
      <w:pPr>
        <w:rPr>
          <w:rFonts w:asciiTheme="minorHAnsi" w:hAnsiTheme="minorHAnsi" w:cstheme="minorHAnsi"/>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230"/>
      </w:tblGrid>
      <w:tr w:rsidR="00054606" w:rsidTr="00054606">
        <w:tc>
          <w:tcPr>
            <w:tcW w:w="5215" w:type="dxa"/>
          </w:tcPr>
          <w:p w:rsidR="00054606" w:rsidRPr="00054606" w:rsidRDefault="00054606" w:rsidP="00054606">
            <w:pPr>
              <w:jc w:val="center"/>
              <w:rPr>
                <w:rFonts w:asciiTheme="minorHAnsi" w:hAnsiTheme="minorHAnsi" w:cstheme="minorHAnsi"/>
                <w:b/>
                <w:bCs/>
                <w:sz w:val="24"/>
                <w:szCs w:val="24"/>
              </w:rPr>
            </w:pPr>
            <w:r w:rsidRPr="00054606">
              <w:rPr>
                <w:rFonts w:asciiTheme="minorHAnsi" w:hAnsiTheme="minorHAnsi" w:cstheme="minorHAnsi"/>
                <w:b/>
                <w:bCs/>
                <w:sz w:val="24"/>
                <w:szCs w:val="24"/>
              </w:rPr>
              <w:t>Liat Raz-Yurovich, PhD. (</w:t>
            </w:r>
            <w:r w:rsidRPr="00054606">
              <w:rPr>
                <w:rFonts w:asciiTheme="minorHAnsi" w:hAnsiTheme="minorHAnsi" w:cstheme="minorHAnsi"/>
                <w:b/>
                <w:bCs/>
                <w:sz w:val="24"/>
                <w:szCs w:val="24"/>
              </w:rPr>
              <w:t>Presenting</w:t>
            </w:r>
            <w:r w:rsidRPr="00054606">
              <w:rPr>
                <w:rFonts w:asciiTheme="minorHAnsi" w:hAnsiTheme="minorHAnsi" w:cstheme="minorHAnsi"/>
                <w:b/>
                <w:bCs/>
                <w:sz w:val="24"/>
                <w:szCs w:val="24"/>
              </w:rPr>
              <w:t xml:space="preserve"> author)</w:t>
            </w:r>
          </w:p>
        </w:tc>
        <w:tc>
          <w:tcPr>
            <w:tcW w:w="4230" w:type="dxa"/>
          </w:tcPr>
          <w:p w:rsidR="00054606" w:rsidRPr="00054606" w:rsidRDefault="00054606" w:rsidP="00054606">
            <w:pPr>
              <w:jc w:val="center"/>
              <w:rPr>
                <w:rFonts w:asciiTheme="minorHAnsi" w:hAnsiTheme="minorHAnsi" w:cstheme="minorHAnsi"/>
                <w:b/>
                <w:bCs/>
                <w:sz w:val="24"/>
                <w:szCs w:val="24"/>
              </w:rPr>
            </w:pPr>
            <w:proofErr w:type="spellStart"/>
            <w:r w:rsidRPr="00054606">
              <w:rPr>
                <w:rFonts w:asciiTheme="minorHAnsi" w:hAnsiTheme="minorHAnsi" w:cstheme="minorHAnsi"/>
                <w:b/>
                <w:bCs/>
                <w:sz w:val="24"/>
                <w:szCs w:val="24"/>
              </w:rPr>
              <w:t>Assaf</w:t>
            </w:r>
            <w:proofErr w:type="spellEnd"/>
            <w:r w:rsidRPr="00054606">
              <w:rPr>
                <w:rFonts w:asciiTheme="minorHAnsi" w:hAnsiTheme="minorHAnsi" w:cstheme="minorHAnsi"/>
                <w:b/>
                <w:bCs/>
                <w:sz w:val="24"/>
                <w:szCs w:val="24"/>
              </w:rPr>
              <w:t xml:space="preserve"> </w:t>
            </w:r>
            <w:proofErr w:type="spellStart"/>
            <w:r w:rsidRPr="00054606">
              <w:rPr>
                <w:rFonts w:asciiTheme="minorHAnsi" w:hAnsiTheme="minorHAnsi" w:cstheme="minorHAnsi"/>
                <w:b/>
                <w:bCs/>
                <w:sz w:val="24"/>
                <w:szCs w:val="24"/>
              </w:rPr>
              <w:t>Tsachor</w:t>
            </w:r>
            <w:proofErr w:type="spellEnd"/>
            <w:r w:rsidRPr="00054606">
              <w:rPr>
                <w:rFonts w:asciiTheme="minorHAnsi" w:hAnsiTheme="minorHAnsi" w:cstheme="minorHAnsi"/>
                <w:b/>
                <w:bCs/>
                <w:sz w:val="24"/>
                <w:szCs w:val="24"/>
              </w:rPr>
              <w:t>-Shai</w:t>
            </w:r>
          </w:p>
        </w:tc>
      </w:tr>
      <w:tr w:rsidR="00054606" w:rsidTr="00054606">
        <w:tc>
          <w:tcPr>
            <w:tcW w:w="5215" w:type="dxa"/>
          </w:tcPr>
          <w:p w:rsidR="00054606" w:rsidRPr="00054606" w:rsidRDefault="00054606" w:rsidP="00054606">
            <w:pPr>
              <w:spacing w:after="160" w:line="240" w:lineRule="auto"/>
              <w:jc w:val="center"/>
              <w:rPr>
                <w:rFonts w:asciiTheme="minorHAnsi" w:hAnsiTheme="minorHAnsi" w:cstheme="minorHAnsi"/>
                <w:sz w:val="24"/>
                <w:szCs w:val="24"/>
              </w:rPr>
            </w:pPr>
            <w:r w:rsidRPr="00054606">
              <w:rPr>
                <w:rFonts w:asciiTheme="minorHAnsi" w:eastAsiaTheme="minorHAnsi" w:hAnsiTheme="minorHAnsi" w:cstheme="minorHAnsi"/>
                <w:sz w:val="24"/>
                <w:szCs w:val="24"/>
                <w:lang w:val="en-US" w:bidi="ar-SA"/>
              </w:rPr>
              <w:t>The Hebrew University of Jerusalem</w:t>
            </w:r>
          </w:p>
        </w:tc>
        <w:tc>
          <w:tcPr>
            <w:tcW w:w="4230" w:type="dxa"/>
          </w:tcPr>
          <w:p w:rsidR="00054606" w:rsidRPr="00054606" w:rsidRDefault="00054606" w:rsidP="00054606">
            <w:pPr>
              <w:spacing w:line="240" w:lineRule="auto"/>
              <w:jc w:val="center"/>
              <w:rPr>
                <w:rFonts w:asciiTheme="minorHAnsi" w:hAnsiTheme="minorHAnsi" w:cstheme="minorHAnsi"/>
                <w:sz w:val="24"/>
                <w:szCs w:val="24"/>
              </w:rPr>
            </w:pPr>
            <w:r w:rsidRPr="00054606">
              <w:rPr>
                <w:rFonts w:asciiTheme="minorHAnsi" w:hAnsiTheme="minorHAnsi" w:cstheme="minorHAnsi"/>
                <w:sz w:val="24"/>
                <w:szCs w:val="24"/>
              </w:rPr>
              <w:t>Senior Economist &amp; Team Leader</w:t>
            </w:r>
          </w:p>
        </w:tc>
      </w:tr>
      <w:tr w:rsidR="00054606" w:rsidTr="00054606">
        <w:tc>
          <w:tcPr>
            <w:tcW w:w="5215" w:type="dxa"/>
          </w:tcPr>
          <w:p w:rsidR="00054606" w:rsidRPr="00054606" w:rsidRDefault="00054606" w:rsidP="00054606">
            <w:pPr>
              <w:jc w:val="center"/>
              <w:rPr>
                <w:rFonts w:asciiTheme="minorHAnsi" w:hAnsiTheme="minorHAnsi" w:cstheme="minorHAnsi"/>
                <w:sz w:val="24"/>
                <w:szCs w:val="24"/>
              </w:rPr>
            </w:pPr>
            <w:r w:rsidRPr="00054606">
              <w:rPr>
                <w:rFonts w:asciiTheme="minorHAnsi" w:hAnsiTheme="minorHAnsi" w:cstheme="minorHAnsi"/>
                <w:sz w:val="24"/>
                <w:szCs w:val="24"/>
              </w:rPr>
              <w:t>Department of Sociology, Demographic Studies</w:t>
            </w:r>
          </w:p>
        </w:tc>
        <w:tc>
          <w:tcPr>
            <w:tcW w:w="4230" w:type="dxa"/>
          </w:tcPr>
          <w:p w:rsidR="00054606" w:rsidRPr="00054606" w:rsidRDefault="00054606" w:rsidP="00054606">
            <w:pPr>
              <w:jc w:val="center"/>
              <w:rPr>
                <w:rFonts w:asciiTheme="minorHAnsi" w:hAnsiTheme="minorHAnsi" w:cstheme="minorHAnsi"/>
                <w:sz w:val="24"/>
                <w:szCs w:val="24"/>
              </w:rPr>
            </w:pPr>
            <w:r w:rsidRPr="00054606">
              <w:rPr>
                <w:rFonts w:asciiTheme="minorHAnsi" w:hAnsiTheme="minorHAnsi" w:cstheme="minorHAnsi"/>
                <w:sz w:val="24"/>
                <w:szCs w:val="24"/>
              </w:rPr>
              <w:t>Pareto Consulting Group, Israel</w:t>
            </w:r>
          </w:p>
        </w:tc>
      </w:tr>
      <w:tr w:rsidR="00054606" w:rsidTr="00054606">
        <w:tc>
          <w:tcPr>
            <w:tcW w:w="5215" w:type="dxa"/>
          </w:tcPr>
          <w:p w:rsidR="00054606" w:rsidRPr="00054606" w:rsidRDefault="00054606" w:rsidP="00054606">
            <w:pPr>
              <w:jc w:val="center"/>
              <w:rPr>
                <w:rFonts w:asciiTheme="minorHAnsi" w:hAnsiTheme="minorHAnsi" w:cstheme="minorHAnsi"/>
                <w:sz w:val="24"/>
                <w:szCs w:val="24"/>
              </w:rPr>
            </w:pPr>
            <w:proofErr w:type="spellStart"/>
            <w:r w:rsidRPr="00054606">
              <w:rPr>
                <w:rFonts w:asciiTheme="minorHAnsi" w:hAnsiTheme="minorHAnsi" w:cstheme="minorHAnsi"/>
                <w:sz w:val="24"/>
                <w:szCs w:val="24"/>
              </w:rPr>
              <w:t>Federmann</w:t>
            </w:r>
            <w:proofErr w:type="spellEnd"/>
            <w:r w:rsidRPr="00054606">
              <w:rPr>
                <w:rFonts w:asciiTheme="minorHAnsi" w:hAnsiTheme="minorHAnsi" w:cstheme="minorHAnsi"/>
                <w:sz w:val="24"/>
                <w:szCs w:val="24"/>
              </w:rPr>
              <w:t xml:space="preserve"> School of Public Policy and Governance</w:t>
            </w:r>
          </w:p>
        </w:tc>
        <w:tc>
          <w:tcPr>
            <w:tcW w:w="4230" w:type="dxa"/>
          </w:tcPr>
          <w:p w:rsidR="00054606" w:rsidRPr="00054606" w:rsidRDefault="00054606" w:rsidP="00054606">
            <w:pPr>
              <w:jc w:val="center"/>
              <w:rPr>
                <w:rFonts w:asciiTheme="minorHAnsi" w:hAnsiTheme="minorHAnsi" w:cstheme="minorHAnsi"/>
                <w:sz w:val="24"/>
                <w:szCs w:val="24"/>
              </w:rPr>
            </w:pPr>
          </w:p>
        </w:tc>
      </w:tr>
      <w:tr w:rsidR="00054606" w:rsidTr="00054606">
        <w:tc>
          <w:tcPr>
            <w:tcW w:w="5215" w:type="dxa"/>
          </w:tcPr>
          <w:p w:rsidR="00054606" w:rsidRPr="00054606" w:rsidRDefault="00054606" w:rsidP="00054606">
            <w:pPr>
              <w:jc w:val="center"/>
              <w:rPr>
                <w:rFonts w:asciiTheme="minorHAnsi" w:hAnsiTheme="minorHAnsi" w:cstheme="minorHAnsi"/>
                <w:sz w:val="24"/>
                <w:szCs w:val="24"/>
              </w:rPr>
            </w:pPr>
            <w:r w:rsidRPr="00054606">
              <w:rPr>
                <w:rFonts w:asciiTheme="minorHAnsi" w:hAnsiTheme="minorHAnsi" w:cstheme="minorHAnsi"/>
                <w:sz w:val="24"/>
                <w:szCs w:val="24"/>
              </w:rPr>
              <w:t>+972-58-7015015, liat.raz@mail.huji.ac.il</w:t>
            </w:r>
          </w:p>
        </w:tc>
        <w:tc>
          <w:tcPr>
            <w:tcW w:w="4230" w:type="dxa"/>
          </w:tcPr>
          <w:p w:rsidR="00054606" w:rsidRPr="00054606" w:rsidRDefault="00054606" w:rsidP="00054606">
            <w:pPr>
              <w:jc w:val="center"/>
              <w:rPr>
                <w:rFonts w:asciiTheme="minorHAnsi" w:hAnsiTheme="minorHAnsi" w:cstheme="minorHAnsi"/>
                <w:sz w:val="24"/>
                <w:szCs w:val="24"/>
              </w:rPr>
            </w:pPr>
            <w:r w:rsidRPr="00054606">
              <w:rPr>
                <w:rFonts w:asciiTheme="minorHAnsi" w:hAnsiTheme="minorHAnsi" w:cstheme="minorHAnsi"/>
                <w:sz w:val="24"/>
                <w:szCs w:val="24"/>
              </w:rPr>
              <w:t>+972-54-6738132, assafshai@gmail.com</w:t>
            </w:r>
          </w:p>
        </w:tc>
      </w:tr>
    </w:tbl>
    <w:p w:rsidR="00054606" w:rsidRPr="00054606" w:rsidRDefault="00054606">
      <w:pPr>
        <w:rPr>
          <w:rFonts w:asciiTheme="minorHAnsi" w:hAnsiTheme="minorHAnsi" w:cstheme="minorHAnsi"/>
        </w:rPr>
      </w:pPr>
    </w:p>
    <w:p w:rsidR="00054606" w:rsidRDefault="00054606" w:rsidP="00054606">
      <w:pPr>
        <w:spacing w:line="480" w:lineRule="auto"/>
        <w:rPr>
          <w:rFonts w:ascii="Times New Roman" w:eastAsia="Calibri" w:hAnsi="Times New Roman" w:cs="Times New Roman"/>
          <w:b/>
          <w:sz w:val="24"/>
          <w:szCs w:val="24"/>
          <w:lang w:val="en-US"/>
        </w:rPr>
      </w:pPr>
    </w:p>
    <w:p w:rsidR="00054606" w:rsidRPr="000411EA" w:rsidRDefault="00054606" w:rsidP="00054606">
      <w:pPr>
        <w:spacing w:line="480" w:lineRule="auto"/>
        <w:rPr>
          <w:rFonts w:ascii="Times New Roman" w:eastAsia="Calibri" w:hAnsi="Times New Roman" w:cs="Times New Roman"/>
          <w:b/>
          <w:color w:val="FF0000"/>
          <w:sz w:val="24"/>
          <w:szCs w:val="24"/>
          <w:lang w:val="en-US"/>
        </w:rPr>
      </w:pPr>
      <w:r w:rsidRPr="000411EA">
        <w:rPr>
          <w:rFonts w:ascii="Times New Roman" w:eastAsia="Calibri" w:hAnsi="Times New Roman" w:cs="Times New Roman"/>
          <w:b/>
          <w:sz w:val="24"/>
          <w:szCs w:val="24"/>
          <w:lang w:val="en-US"/>
        </w:rPr>
        <w:t xml:space="preserve">Abstract </w:t>
      </w:r>
    </w:p>
    <w:p w:rsidR="00054606" w:rsidRPr="00850D62" w:rsidRDefault="00054606" w:rsidP="00054606">
      <w:pPr>
        <w:spacing w:line="480" w:lineRule="auto"/>
        <w:rPr>
          <w:rFonts w:ascii="Times New Roman" w:hAnsi="Times New Roman" w:cs="Times New Roman"/>
        </w:rPr>
      </w:pPr>
      <w:r w:rsidRPr="00850D62">
        <w:rPr>
          <w:rFonts w:ascii="Times New Roman" w:hAnsi="Times New Roman" w:cs="Times New Roman"/>
        </w:rPr>
        <w:t>The time devoted to unpaid work in the domestic sphere reduces time devoted to paid work and this time loss is higher for women than for men. The consumption of domestic services may serve as a mechanism to reduce the burden of unpaid work and to increase the labor force participation rates of men and women.</w:t>
      </w:r>
    </w:p>
    <w:p w:rsidR="00054606" w:rsidRPr="00850D62" w:rsidRDefault="00054606" w:rsidP="00054606">
      <w:pPr>
        <w:spacing w:line="480" w:lineRule="auto"/>
        <w:rPr>
          <w:rFonts w:ascii="Times New Roman" w:hAnsi="Times New Roman" w:cs="Times New Roman"/>
        </w:rPr>
      </w:pPr>
      <w:r w:rsidRPr="00850D62">
        <w:rPr>
          <w:rFonts w:ascii="Times New Roman" w:hAnsi="Times New Roman" w:cs="Times New Roman"/>
        </w:rPr>
        <w:t>This study takes a longitudinal couple-level approach and analyzes whether the likelihood of working and the number of work hours of male and female partners in households that employed a domestic worker increased after employing the domestic worker, and whether these changes translate into reduced gender inequality in labor force participation within households.</w:t>
      </w:r>
    </w:p>
    <w:p w:rsidR="00054606" w:rsidRPr="00987084" w:rsidRDefault="00054606" w:rsidP="00054606">
      <w:pPr>
        <w:spacing w:line="480" w:lineRule="auto"/>
        <w:rPr>
          <w:rFonts w:ascii="Times New Roman" w:hAnsi="Times New Roman" w:cs="Times New Roman"/>
        </w:rPr>
      </w:pPr>
      <w:r w:rsidRPr="00850D62">
        <w:rPr>
          <w:rFonts w:ascii="Times New Roman" w:hAnsi="Times New Roman" w:cs="Times New Roman"/>
        </w:rPr>
        <w:t xml:space="preserve">Using an analytic sample of 85,282 married heterosexual non-Haredi Jewish </w:t>
      </w:r>
      <w:r>
        <w:rPr>
          <w:rFonts w:ascii="Times New Roman" w:hAnsi="Times New Roman" w:cs="Times New Roman"/>
        </w:rPr>
        <w:t xml:space="preserve">Israeli </w:t>
      </w:r>
      <w:bookmarkStart w:id="0" w:name="_GoBack"/>
      <w:bookmarkEnd w:id="0"/>
      <w:r w:rsidRPr="00850D62">
        <w:rPr>
          <w:rFonts w:ascii="Times New Roman" w:hAnsi="Times New Roman" w:cs="Times New Roman"/>
        </w:rPr>
        <w:t>couples aged 25-64 from the harmonized panel database of the Israeli Labor Force Survey for the years 2000-2017, and by employing an instrumental variable approach with Fixed-Effects Two-Stage Least Squares models, we find that outsourcing affects employment both at the extensive and at the intensive margins, but only among highly-educated women. The increase in highly-educated women’s likelihood of working and the increase in their weekly work hours are translated into a reduced gender gap in employment and in work hours, no matter their partner’s level of education.</w:t>
      </w:r>
    </w:p>
    <w:p w:rsidR="00054606" w:rsidRDefault="00054606"/>
    <w:sectPr w:rsidR="00054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06"/>
    <w:rsid w:val="00054606"/>
    <w:rsid w:val="00CD50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4D07"/>
  <w15:chartTrackingRefBased/>
  <w15:docId w15:val="{BEB24410-1B1B-4F23-BF4D-271A8C8B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606"/>
    <w:pPr>
      <w:spacing w:after="0" w:line="276" w:lineRule="auto"/>
    </w:pPr>
    <w:rPr>
      <w:rFonts w:ascii="Arial" w:eastAsia="Arial" w:hAnsi="Arial" w:cs="Arial"/>
      <w:lang w:val="e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4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2024-01-29T06:39:00Z</dcterms:created>
  <dcterms:modified xsi:type="dcterms:W3CDTF">2024-01-29T06:51:00Z</dcterms:modified>
</cp:coreProperties>
</file>