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CF862" w14:textId="77777777" w:rsidR="00200598" w:rsidRPr="00E263AA" w:rsidRDefault="00200598" w:rsidP="005C055B">
      <w:pPr>
        <w:spacing w:line="240" w:lineRule="auto"/>
        <w:jc w:val="center"/>
        <w:rPr>
          <w:rFonts w:ascii="Times New Roman" w:hAnsi="Times New Roman" w:cs="Times New Roman"/>
          <w:b/>
          <w:bCs/>
          <w:smallCaps/>
          <w:sz w:val="28"/>
          <w:szCs w:val="28"/>
          <w:lang w:val="en-US"/>
        </w:rPr>
      </w:pPr>
      <w:r w:rsidRPr="00E263AA">
        <w:rPr>
          <w:rFonts w:ascii="Times New Roman" w:hAnsi="Times New Roman" w:cs="Times New Roman"/>
          <w:b/>
          <w:bCs/>
          <w:smallCaps/>
          <w:sz w:val="28"/>
          <w:szCs w:val="28"/>
          <w:lang w:val="en-US"/>
        </w:rPr>
        <w:t>Beyond Convergence: Challenges in a New Land and the Depressed Fertility Among Migrant Descendants</w:t>
      </w:r>
    </w:p>
    <w:p w14:paraId="4F2190E1" w14:textId="77777777" w:rsidR="00200598" w:rsidRPr="00200598" w:rsidRDefault="00200598" w:rsidP="005C055B">
      <w:pPr>
        <w:spacing w:after="160" w:line="240" w:lineRule="auto"/>
        <w:jc w:val="center"/>
        <w:rPr>
          <w:rFonts w:ascii="Times New Roman" w:hAnsi="Times New Roman" w:cs="Times New Roman"/>
          <w:b/>
          <w:bCs/>
          <w:sz w:val="24"/>
          <w:szCs w:val="24"/>
          <w:lang w:val="en-US"/>
        </w:rPr>
      </w:pPr>
    </w:p>
    <w:p w14:paraId="6412BA25" w14:textId="6048D1F8" w:rsidR="00200598" w:rsidRPr="000D2121" w:rsidRDefault="00200598" w:rsidP="005C055B">
      <w:pPr>
        <w:spacing w:line="240" w:lineRule="auto"/>
        <w:jc w:val="center"/>
        <w:rPr>
          <w:rFonts w:ascii="Times New Roman" w:hAnsi="Times New Roman" w:cs="Times New Roman"/>
          <w:b/>
          <w:bCs/>
          <w:sz w:val="24"/>
          <w:szCs w:val="24"/>
          <w:lang w:val="en-US"/>
        </w:rPr>
      </w:pPr>
      <w:r w:rsidRPr="00590B70">
        <w:rPr>
          <w:rFonts w:ascii="Times New Roman" w:hAnsi="Times New Roman" w:cs="Times New Roman"/>
          <w:b/>
          <w:bCs/>
          <w:sz w:val="24"/>
          <w:szCs w:val="24"/>
          <w:lang w:val="en-US"/>
        </w:rPr>
        <w:t>José Luis Estévez &amp; Anna Rotkirch</w:t>
      </w:r>
    </w:p>
    <w:p w14:paraId="597F432B" w14:textId="77777777" w:rsidR="00200598" w:rsidRPr="00200598" w:rsidRDefault="00200598" w:rsidP="005C055B">
      <w:pPr>
        <w:spacing w:line="240" w:lineRule="auto"/>
        <w:jc w:val="center"/>
        <w:rPr>
          <w:rFonts w:ascii="Times New Roman" w:hAnsi="Times New Roman" w:cs="Times New Roman"/>
          <w:sz w:val="24"/>
          <w:szCs w:val="24"/>
          <w:lang w:val="en-US"/>
        </w:rPr>
      </w:pPr>
      <w:r w:rsidRPr="00200598">
        <w:rPr>
          <w:rFonts w:ascii="Times New Roman" w:hAnsi="Times New Roman" w:cs="Times New Roman"/>
          <w:sz w:val="24"/>
          <w:szCs w:val="24"/>
          <w:lang w:val="en-US"/>
        </w:rPr>
        <w:t xml:space="preserve">Population Research Institute, </w:t>
      </w:r>
      <w:proofErr w:type="spellStart"/>
      <w:r w:rsidRPr="00200598">
        <w:rPr>
          <w:rFonts w:ascii="Times New Roman" w:hAnsi="Times New Roman" w:cs="Times New Roman"/>
          <w:sz w:val="24"/>
          <w:szCs w:val="24"/>
          <w:lang w:val="en-US"/>
        </w:rPr>
        <w:t>Väestöliitto</w:t>
      </w:r>
      <w:proofErr w:type="spellEnd"/>
      <w:r w:rsidRPr="00200598">
        <w:rPr>
          <w:rFonts w:ascii="Times New Roman" w:hAnsi="Times New Roman" w:cs="Times New Roman"/>
          <w:sz w:val="24"/>
          <w:szCs w:val="24"/>
          <w:lang w:val="en-US"/>
        </w:rPr>
        <w:t>, Helsinki, Finland</w:t>
      </w:r>
    </w:p>
    <w:p w14:paraId="0870EED5" w14:textId="77777777" w:rsidR="00200598" w:rsidRPr="00200598" w:rsidRDefault="00200598" w:rsidP="005C055B">
      <w:pPr>
        <w:spacing w:after="160" w:line="240" w:lineRule="auto"/>
        <w:rPr>
          <w:rFonts w:ascii="Times New Roman" w:hAnsi="Times New Roman" w:cs="Times New Roman"/>
          <w:sz w:val="24"/>
          <w:szCs w:val="24"/>
          <w:lang w:val="en-US"/>
        </w:rPr>
      </w:pPr>
    </w:p>
    <w:p w14:paraId="1E9550EE" w14:textId="42F310C3" w:rsidR="00200598" w:rsidRPr="00200598" w:rsidRDefault="00200598" w:rsidP="005C055B">
      <w:pPr>
        <w:spacing w:after="160" w:line="240" w:lineRule="auto"/>
        <w:rPr>
          <w:rFonts w:ascii="Times New Roman" w:hAnsi="Times New Roman" w:cs="Times New Roman"/>
          <w:sz w:val="24"/>
          <w:szCs w:val="24"/>
          <w:lang w:val="en-US"/>
        </w:rPr>
      </w:pPr>
      <w:r w:rsidRPr="00200598">
        <w:rPr>
          <w:rFonts w:ascii="Times New Roman" w:hAnsi="Times New Roman" w:cs="Times New Roman"/>
          <w:sz w:val="24"/>
          <w:szCs w:val="24"/>
          <w:lang w:val="en-US"/>
        </w:rPr>
        <w:t>A</w:t>
      </w:r>
      <w:r w:rsidRPr="00200598">
        <w:rPr>
          <w:rFonts w:ascii="Times New Roman" w:hAnsi="Times New Roman" w:cs="Times New Roman"/>
          <w:b/>
          <w:bCs/>
          <w:smallCaps/>
          <w:sz w:val="24"/>
          <w:szCs w:val="24"/>
          <w:lang w:val="en-US"/>
        </w:rPr>
        <w:t>bstract</w:t>
      </w:r>
    </w:p>
    <w:p w14:paraId="614E80AB" w14:textId="7FE9EDCE" w:rsidR="00200598" w:rsidRPr="008D7576" w:rsidRDefault="00200598" w:rsidP="00EF745E">
      <w:pPr>
        <w:spacing w:after="160" w:line="300" w:lineRule="auto"/>
        <w:rPr>
          <w:rFonts w:ascii="Times New Roman" w:hAnsi="Times New Roman" w:cs="Times New Roman"/>
          <w:sz w:val="24"/>
          <w:szCs w:val="24"/>
          <w:lang w:val="en-US"/>
        </w:rPr>
      </w:pPr>
      <w:r w:rsidRPr="00200598">
        <w:rPr>
          <w:rFonts w:ascii="Times New Roman" w:hAnsi="Times New Roman" w:cs="Times New Roman"/>
          <w:sz w:val="24"/>
          <w:szCs w:val="24"/>
          <w:lang w:val="en-US"/>
        </w:rPr>
        <w:t>This study uses administrative registers to investigate the patterns of parenthood initiation among different groups of migrant descendants in Finland. Discrete-time logistic models</w:t>
      </w:r>
      <w:r w:rsidR="005E340B" w:rsidRPr="00812314">
        <w:rPr>
          <w:rFonts w:ascii="Times New Roman" w:hAnsi="Times New Roman" w:cs="Times New Roman"/>
          <w:sz w:val="24"/>
          <w:szCs w:val="24"/>
          <w:lang w:val="en-US"/>
        </w:rPr>
        <w:fldChar w:fldCharType="begin"/>
      </w:r>
      <w:r w:rsidR="000D2121">
        <w:rPr>
          <w:rFonts w:ascii="Times New Roman" w:hAnsi="Times New Roman" w:cs="Times New Roman"/>
          <w:sz w:val="24"/>
          <w:szCs w:val="24"/>
          <w:lang w:val="en-US"/>
        </w:rPr>
        <w:instrText xml:space="preserve"> ADDIN ZOTERO_ITEM CSL_CITATION {"citationID":"HT6NJ5z8","properties":{"formattedCitation":"\\super 1\\nosupersub{}","plainCitation":"1","noteIndex":0},"citationItems":[{"id":2602,"uris":["http://zotero.org/groups/4868529/items/RB4GF7H2"],"itemData":{"id":2602,"type":"book","abstract":"Change is constant in everyday life. Infants crawl and then walk, children learn to read and write, teenagers mature in myriad ways, the elderly become frail and forgetful. Beyond these natural processes and events, external forces and interventions instigate and disrupt change: test scores may rise after a coaching course, drug abusers may remain abstinent after residential treatment. By charting changes over time and investigating whether and when events occur, researchers reveal the temporal rhythms of our lives. Applied Longitudinal Data Analysis is a much-needed professional book for empirical researchers and graduate students in the behavioral, social, and biomedical sciences. It offers the first accessible in-depth presentation of two of today's most popular statistical methods: multilevel models for individual change and hazard/survival models for event occurrence (in both discrete- and continuous-time). Using clear, concise prose and real data sets from published studies, the authors take you step by step through complete analyses, from simple exploratory displays that reveal underlying patterns through sophisticated specifications of complex statistical models.Applied Longitudinal Data Analysis offers readers a private consultation session with internationally recognized experts and represents a unique contribution to the literature on quantitative empirical methods.Visit http://www.ats.ucla.edu/stat/examples/alda.htm for:DT Downloadable data setsDT Library of computer programs in SAS, SPSS, Stata, HLM, MLwiN, and moreDT Additional material for data analysis","ISBN":"978-0-19-515296-8","language":"en","note":"Google-Books-ID: PpnA1M8VwR8C","number-of-pages":"672","publisher":"Oxford University Press","source":"Google Books","title":"Applied Longitudinal Data Analysis: Modeling Change and Event Occurrence","title-short":"Applied Longitudinal Data Analysis","author":[{"family":"Singer","given":"Judith D."},{"family":"Willett","given":"John B."}],"issued":{"date-parts":[["2003",3,27]]}},"locator":"10-12","label":"chapter"}],"schema":"https://github.com/citation-style-language/schema/raw/master/csl-citation.json"} </w:instrText>
      </w:r>
      <w:r w:rsidR="005E340B" w:rsidRPr="00812314">
        <w:rPr>
          <w:rFonts w:ascii="Times New Roman" w:hAnsi="Times New Roman" w:cs="Times New Roman"/>
          <w:sz w:val="24"/>
          <w:szCs w:val="24"/>
          <w:lang w:val="en-US"/>
        </w:rPr>
        <w:fldChar w:fldCharType="separate"/>
      </w:r>
      <w:r w:rsidR="000D2121" w:rsidRPr="000D2121">
        <w:rPr>
          <w:rFonts w:ascii="Times New Roman" w:hAnsi="Times New Roman" w:cs="Times New Roman"/>
          <w:kern w:val="0"/>
          <w:sz w:val="24"/>
          <w:szCs w:val="24"/>
          <w:vertAlign w:val="superscript"/>
          <w:lang w:val="en-US"/>
        </w:rPr>
        <w:t>1</w:t>
      </w:r>
      <w:r w:rsidR="005E340B" w:rsidRPr="00812314">
        <w:rPr>
          <w:rFonts w:ascii="Times New Roman" w:hAnsi="Times New Roman" w:cs="Times New Roman"/>
          <w:sz w:val="24"/>
          <w:szCs w:val="24"/>
          <w:lang w:val="en-US"/>
        </w:rPr>
        <w:fldChar w:fldCharType="end"/>
      </w:r>
      <w:r w:rsidR="005E340B" w:rsidRPr="00812314">
        <w:rPr>
          <w:rFonts w:ascii="Times New Roman" w:hAnsi="Times New Roman" w:cs="Times New Roman"/>
          <w:sz w:val="24"/>
          <w:szCs w:val="24"/>
          <w:lang w:val="en-US"/>
        </w:rPr>
        <w:t xml:space="preserve"> </w:t>
      </w:r>
      <w:r w:rsidRPr="00200598">
        <w:rPr>
          <w:rFonts w:ascii="Times New Roman" w:hAnsi="Times New Roman" w:cs="Times New Roman"/>
          <w:sz w:val="24"/>
          <w:szCs w:val="24"/>
          <w:lang w:val="en-US"/>
        </w:rPr>
        <w:t>reveal a pattern characterized by a higher likelihood of transition into parenthood for 1.5-generation migrants originating from high-fertility backgrounds compared to their native-born counterparts. This transition likelihood aligns closer with that of native-born individuals for the second generation and undergoes a reversal for the 2.5 generation (individuals born in Finland with a mixed migrant-native background)</w:t>
      </w:r>
      <w:r w:rsidR="002860E5">
        <w:rPr>
          <w:rFonts w:ascii="Times New Roman" w:hAnsi="Times New Roman" w:cs="Times New Roman"/>
          <w:sz w:val="24"/>
          <w:szCs w:val="24"/>
          <w:lang w:val="en-US"/>
        </w:rPr>
        <w:t xml:space="preserve"> [see Figure 1]</w:t>
      </w:r>
      <w:r w:rsidRPr="00200598">
        <w:rPr>
          <w:rFonts w:ascii="Times New Roman" w:hAnsi="Times New Roman" w:cs="Times New Roman"/>
          <w:sz w:val="24"/>
          <w:szCs w:val="24"/>
          <w:lang w:val="en-US"/>
        </w:rPr>
        <w:t>. We also conduct mediation analyses</w:t>
      </w:r>
      <w:r w:rsidR="00ED6E43" w:rsidRPr="00812314">
        <w:rPr>
          <w:rFonts w:ascii="Times New Roman" w:hAnsi="Times New Roman" w:cs="Times New Roman"/>
          <w:color w:val="C45911" w:themeColor="accent2" w:themeShade="BF"/>
          <w:sz w:val="24"/>
          <w:szCs w:val="24"/>
          <w:lang w:val="en-US"/>
        </w:rPr>
        <w:fldChar w:fldCharType="begin"/>
      </w:r>
      <w:r w:rsidR="000D2121">
        <w:rPr>
          <w:rFonts w:ascii="Times New Roman" w:hAnsi="Times New Roman" w:cs="Times New Roman"/>
          <w:color w:val="C45911" w:themeColor="accent2" w:themeShade="BF"/>
          <w:sz w:val="24"/>
          <w:szCs w:val="24"/>
          <w:lang w:val="en-US"/>
        </w:rPr>
        <w:instrText xml:space="preserve"> ADDIN ZOTERO_ITEM CSL_CITATION {"citationID":"yGyXYNfC","properties":{"formattedCitation":"\\super 2\\nosupersub{}","plainCitation":"2","noteIndex":0},"citationItems":[{"id":2681,"uris":["http://zotero.org/groups/4868529/items/AX58ZV6E"],"itemData":{"id":2681,"type":"article-journal","abstract":"Logit and probit models are widely used in empirical sociological research. However, the common practice of comparing the coefficients of a given variable across differently specified models fitted to the same sample does not warrant the same interpretation in logits and probits as in linear regression. Unlike linear models, the change in the coefficient of the variable of interest cannot be straightforwardly attributed to the inclusion of confounding variables. The reason for this is that the variance of the underlying latent variable is not identified and will differ between models. We refer to this as the problem of rescaling. We propose a solution that allows researchers to assess the influence of confounding relative to the influence of rescaling, and we develop a test to assess the statistical significance of confounding. A further problem in making comparisons is that, in most cases, the error distribution, and not just its variance, will differ across models. Monte Carlo analyses indicate that other methods that have been proposed for dealing with the rescaling problem can lead to mistaken inferences if the error distributions are very different. In contrast, in all scenarios studied, our approach performs as least as well as, and in some cases better than, others when faced with differences in the error distributions. We present an example of our method using data from the National Education Longitudinal Study.","container-title":"Sociological Methodology","DOI":"10.1177/0081175012444861","ISSN":"0081-1750","issue":"1","language":"en","note":"publisher: SAGE Publications Inc","page":"286-313","source":"SAGE Journals","title":"Comparing Regression Coefficients Between Same-sample Nested Models Using Logit and Probit: A New Method","title-short":"Comparing Regression Coefficients Between Same-sample Nested Models Using Logit and Probit","volume":"42","author":[{"family":"Karlson","given":"Kristian Bernt"},{"family":"Holm","given":"Anders"},{"family":"Breen","given":"Richard"}],"issued":{"date-parts":[["2012",8,1]]}}}],"schema":"https://github.com/citation-style-language/schema/raw/master/csl-citation.json"} </w:instrText>
      </w:r>
      <w:r w:rsidR="00ED6E43" w:rsidRPr="00812314">
        <w:rPr>
          <w:rFonts w:ascii="Times New Roman" w:hAnsi="Times New Roman" w:cs="Times New Roman"/>
          <w:color w:val="C45911" w:themeColor="accent2" w:themeShade="BF"/>
          <w:sz w:val="24"/>
          <w:szCs w:val="24"/>
          <w:lang w:val="en-US"/>
        </w:rPr>
        <w:fldChar w:fldCharType="separate"/>
      </w:r>
      <w:r w:rsidR="000D2121" w:rsidRPr="000D2121">
        <w:rPr>
          <w:rFonts w:ascii="Times New Roman" w:hAnsi="Times New Roman" w:cs="Times New Roman"/>
          <w:kern w:val="0"/>
          <w:sz w:val="24"/>
          <w:szCs w:val="24"/>
          <w:vertAlign w:val="superscript"/>
          <w:lang w:val="en-US"/>
        </w:rPr>
        <w:t>2</w:t>
      </w:r>
      <w:r w:rsidR="00ED6E43" w:rsidRPr="00812314">
        <w:rPr>
          <w:rFonts w:ascii="Times New Roman" w:hAnsi="Times New Roman" w:cs="Times New Roman"/>
          <w:color w:val="C45911" w:themeColor="accent2" w:themeShade="BF"/>
          <w:sz w:val="24"/>
          <w:szCs w:val="24"/>
          <w:lang w:val="en-US"/>
        </w:rPr>
        <w:fldChar w:fldCharType="end"/>
      </w:r>
      <w:r w:rsidRPr="00200598">
        <w:rPr>
          <w:rFonts w:ascii="Times New Roman" w:hAnsi="Times New Roman" w:cs="Times New Roman"/>
          <w:sz w:val="24"/>
          <w:szCs w:val="24"/>
          <w:lang w:val="en-US"/>
        </w:rPr>
        <w:t xml:space="preserve"> to investigate the influences of education and partnership status</w:t>
      </w:r>
      <w:r w:rsidR="002860E5">
        <w:rPr>
          <w:rFonts w:ascii="Times New Roman" w:hAnsi="Times New Roman" w:cs="Times New Roman"/>
          <w:sz w:val="24"/>
          <w:szCs w:val="24"/>
          <w:lang w:val="en-US"/>
        </w:rPr>
        <w:t xml:space="preserve"> [see Figure 2]</w:t>
      </w:r>
      <w:r w:rsidRPr="00200598">
        <w:rPr>
          <w:rFonts w:ascii="Times New Roman" w:hAnsi="Times New Roman" w:cs="Times New Roman"/>
          <w:sz w:val="24"/>
          <w:szCs w:val="24"/>
          <w:lang w:val="en-US"/>
        </w:rPr>
        <w:t>. The findings indicate that while higher education levels foster parenthood initiation for men, the impact is comparatively weaker for migrant descendants. Additionally, while the absence of a partner acts as a significant deterrent for parenthood, affecting both men and women, this effect is stronger for migrant descendants compared to their native-born counterparts. Based on the observed patterns, we conclude that challenges in the local partnership market, coupled with what seems a need of larger investment in their professional careers for men, may offset the impact of cultural influences, offering an explanation for the puzzle of "depressed fertility" noted among migrant descendants in Finland and other contexts</w:t>
      </w:r>
      <w:r w:rsidR="000341D6">
        <w:rPr>
          <w:rFonts w:ascii="Times New Roman" w:hAnsi="Times New Roman" w:cs="Times New Roman"/>
          <w:sz w:val="24"/>
          <w:szCs w:val="24"/>
          <w:lang w:val="en-US"/>
        </w:rPr>
        <w:fldChar w:fldCharType="begin"/>
      </w:r>
      <w:r w:rsidR="00353074">
        <w:rPr>
          <w:rFonts w:ascii="Times New Roman" w:hAnsi="Times New Roman" w:cs="Times New Roman"/>
          <w:sz w:val="24"/>
          <w:szCs w:val="24"/>
          <w:lang w:val="en-US"/>
        </w:rPr>
        <w:instrText xml:space="preserve"> ADDIN ZOTERO_ITEM CSL_CITATION {"citationID":"TsPX84an","properties":{"formattedCitation":"\\super 3\\uc0\\u8211{}6\\nosupersub{}","plainCitation":"3–6","noteIndex":0},"citationItems":[{"id":1799,"uris":["http://zotero.org/groups/4868529/items/BMIEGB6D"],"itemData":{"id":1799,"type":"article-journal","abstract":"BACKGROUNDPrevious research shows evidence of an interrelation between family formation and the migration of immigrants in Europe. Less research has been conducted on the fertility and family behavior of the descendants of immigrants. OBJECTIVESOur study provides analyses of the childbearing behavior of daughters of immigrants in Sweden. The context is that of a country with near-replacement-level fertility and social policies oriented towards social equality. METHODSThe study is based on register data covering 1998–2012, which allows for highly detailed analyses of the childbearing behavior of 20 country origin groups of second-generation women. By means of event history techniques, we analyze the transition to any first, second, and third births. RESULTSOur analyses show that most groups of descendants of immigrants have lower fertility than those with a full Swedish background. The risk of having a first child is particularly depressed, and the risk of having a second child is also lower for daughters of immigrants than for women with two Swedish-born parents. In contrast, many groups of immigrant-descendant two-child mothers display elevated third-birth risks. CONCLUSIONSOur findings demonstrate the necessity to account for parity-specific differences in fertility when studying the fertility of descendants of migrants.","container-title":"Demographic Research","ISSN":"1435-9871","note":"publisher: Max-Planck-Gesellschaft zur Foerderung der Wissenschaften","page":"1149-1184","source":"JSTOR","title":"Depressed fertility among descendants of immigrants in Sweden","volume":"36","author":[{"family":"Andersson","given":"Gunnar"},{"family":"Persson","given":"Lotta"},{"family":"Obućina","given":"Ognjen"}],"issued":{"date-parts":[["2017"]]}}},{"id":2713,"uris":["http://zotero.org/groups/4868529/items/WNKK5PD7"],"itemData":{"id":2713,"type":"article-journal","abstract":"While there is a large literature investigating migrant marriage or fertility, little research has examined how childbearing and partnerships are interrelated. In this paper, we investigate how childbearing and partnership trajectories evolve and interact over the life course for immigrants and their descendants and how the relationship varies by migrant origin. We apply multichannel sequence analysis to rich longitudinal survey data from France and find significant differences in family-related behaviour between immigrants, their descendants, and the native French. Immigrants’ family behaviour is characterized by stronger association between marriage and childbearing than in the native population. However, there are significant differences across migrant groups. Turkish immigrants exhibit the most conservative family pathways. By contrast, the family behaviour of European immigrants is similar to that of the native population. The study also demonstrates that the family behaviour of some descendant groups has gradually become indistinguishable from that of the native French, whereas for other groups significant differences in family behaviour persist. Supplementary material for this article is available at: http://dx.doi.org/10.1080/00324728.2022.2049856","container-title":"Population Studies","DOI":"10.1080/00324728.2022.2049856","ISSN":"0032-4728","issue":"1","note":"publisher: Routledge\n_eprint: https://doi.org/10.1080/00324728.2022.2049856\nPMID: 35379080","page":"55-70","source":"Taylor and Francis+NEJM","title":"Interaction between childbearing and partnership trajectories among immigrants and their descendants in France: An application of multichannel sequence analysis","title-short":"Interaction between childbearing and partnership trajectories among immigrants and their descendants in France","volume":"77","author":[{"family":"Delaporte","given":"Isaure"},{"family":"Kulu","given":"Hill"}],"issued":{"date-parts":[["2023",1,2]]}}},{"id":2679,"uris":["http://zotero.org/groups/4868529/items/NI2XBRBB"],"itemData":{"id":2679,"type":"article-journal","abstract":"This paper investigates whether unemployment and insecure employment lead to delaying first childbearing in France, and whether these impacts are likely to differ between children of immigrants from North Africa and natives across genders. Data come from pooling two cohorts of French school-leavers followed over 7–10 years. Findings show that women of North African descent have a first child later than native women, whereas results for men are not significantly ethnic origin-differentiated. Unemployment and non-permanent employment are related to postponement of fertility for both men and women. Current unemployment affects the children of immigrants from North Africa more than their counterparts with no direct migration background. Persistent unemployment does not have any significant effect on childbearing for the women of North African immigrant descent, while it strongly reduces that of the men. While employment uncertainty thus tends to delay first parenthood, its impact seems to occur more through the timing of couple formation than through the timing of conception among children of immigrants from North Africa.","container-title":"Journal of Ethnic and Migration Studies","DOI":"10.1080/1369183X.2017.1313107","ISSN":"1369-183X","issue":"3","note":"publisher: Routledge\n_eprint: https://doi.org/10.1080/1369183X.2017.1313107","page":"401-424","source":"Taylor and Francis+NEJM","title":"Does employment uncertainty particularly impact fertility of children of North African immigrants in France? A gender perspective","title-short":"Does employment uncertainty particularly impact fertility of children of North African immigrants in France?","volume":"44","author":[{"family":"Dupray","given":"Arnaud"},{"family":"Pailhé","given":"Ariane"}],"issued":{"date-parts":[["2018",2,17]]}}},{"id":1906,"uris":["http://zotero.org/groups/4868529/items/K3ZPRZ3J"],"itemData":{"id":1906,"type":"article-journal","abstract":"Background: Spain, a country with one of the lowest fertility levels in the world, has recently received intense immigration flows that may contribute to fertility recovery.\n\nObjective: The objective of this study is to examine whether the childbearing behaviour of immigrant women and their descendants shows a pattern of convergence with that of Spanish women born in or after 1950.\n\nMethods: After merging data from the Fertility and Values Survey (2006) and the National Immigrants Survey (2007), we analyse the transition to first, second, and third birth using event history models, to identify variations in timing and incidence of birth transitions between native Spanish women and immigrant groups.\n\nResults: Previous literature has found that migration disrupts immigrants’ fertility only temporarily; however, in the case of Spain, most migrant women who moved before starting family formation do not seem to fully compensate for migration-related disruption of fertility at a later stage. Our findings challenge the widespread belief that immigrants’ childbearing alone will allow Spain to leave behind the current lowest-low and latest-late fertility scenario.\n\nContribution: This article analyzes for the first time the fertility of different immigrant generations in Spain compared to native women, applying event history techniques. Our findings challenge conventional wisdom that immigration will improve very low fertility levels in Spain.","container-title":"Demographic Research","DOI":"10.4054/DemRes.2017.37.19","ISSN":"1435-9871","journalAbbreviation":"Demographic Research","page":"599-634","source":"Demographic Research","title":"Childbearing patterns among immigrant women and their daughters in Spain: Over-adaptation or structural constraints","title-short":"Childbearing patterns among immigrant women and their daughters in Spain","volume":"37","author":[{"family":"González-Ferrer","given":"Amparo"},{"family":"Castro Martín","given":"Teresa"},{"family":"Kraus","given":"Elisabeth"},{"family":"Eremenko","given":"Tatiana"}],"issued":{"date-parts":[["2017",9,1]]}}}],"schema":"https://github.com/citation-style-language/schema/raw/master/csl-citation.json"} </w:instrText>
      </w:r>
      <w:r w:rsidR="000341D6">
        <w:rPr>
          <w:rFonts w:ascii="Times New Roman" w:hAnsi="Times New Roman" w:cs="Times New Roman"/>
          <w:sz w:val="24"/>
          <w:szCs w:val="24"/>
          <w:lang w:val="en-US"/>
        </w:rPr>
        <w:fldChar w:fldCharType="separate"/>
      </w:r>
      <w:r w:rsidR="00353074" w:rsidRPr="00353074">
        <w:rPr>
          <w:rFonts w:ascii="Times New Roman" w:hAnsi="Times New Roman" w:cs="Times New Roman"/>
          <w:kern w:val="0"/>
          <w:sz w:val="24"/>
          <w:szCs w:val="24"/>
          <w:vertAlign w:val="superscript"/>
        </w:rPr>
        <w:t>3–6</w:t>
      </w:r>
      <w:r w:rsidR="000341D6">
        <w:rPr>
          <w:rFonts w:ascii="Times New Roman" w:hAnsi="Times New Roman" w:cs="Times New Roman"/>
          <w:sz w:val="24"/>
          <w:szCs w:val="24"/>
          <w:lang w:val="en-US"/>
        </w:rPr>
        <w:fldChar w:fldCharType="end"/>
      </w:r>
      <w:r w:rsidRPr="008D7576">
        <w:rPr>
          <w:rFonts w:ascii="Times New Roman" w:hAnsi="Times New Roman" w:cs="Times New Roman"/>
          <w:sz w:val="24"/>
          <w:szCs w:val="24"/>
          <w:lang w:val="en-US"/>
        </w:rPr>
        <w:t>.</w:t>
      </w:r>
    </w:p>
    <w:p w14:paraId="4B446561" w14:textId="45D96A08" w:rsidR="008D7576" w:rsidRDefault="008D7576" w:rsidP="005C055B">
      <w:pPr>
        <w:spacing w:line="240" w:lineRule="auto"/>
        <w:rPr>
          <w:rFonts w:ascii="Times New Roman" w:hAnsi="Times New Roman" w:cs="Times New Roman"/>
          <w:b/>
          <w:bCs/>
          <w:sz w:val="24"/>
          <w:szCs w:val="24"/>
          <w:lang w:val="en-US"/>
        </w:rPr>
      </w:pPr>
    </w:p>
    <w:p w14:paraId="40788B99" w14:textId="5D2ABA92" w:rsidR="00013583" w:rsidRPr="00013583" w:rsidRDefault="00013583" w:rsidP="005C055B">
      <w:pPr>
        <w:spacing w:line="240" w:lineRule="auto"/>
        <w:rPr>
          <w:rFonts w:ascii="Times New Roman" w:hAnsi="Times New Roman" w:cs="Times New Roman"/>
          <w:b/>
          <w:bCs/>
          <w:sz w:val="24"/>
          <w:szCs w:val="24"/>
          <w:lang w:val="en-US"/>
        </w:rPr>
      </w:pPr>
      <w:r w:rsidRPr="00013583">
        <w:rPr>
          <w:rFonts w:ascii="Times New Roman" w:hAnsi="Times New Roman" w:cs="Times New Roman"/>
          <w:b/>
          <w:bCs/>
          <w:sz w:val="24"/>
          <w:szCs w:val="24"/>
          <w:lang w:val="en-US"/>
        </w:rPr>
        <w:t>References</w:t>
      </w:r>
    </w:p>
    <w:p w14:paraId="7AB71442" w14:textId="77777777" w:rsidR="00353074" w:rsidRPr="00353074" w:rsidRDefault="00013583" w:rsidP="00353074">
      <w:pPr>
        <w:pStyle w:val="Bibliography"/>
        <w:spacing w:line="240" w:lineRule="auto"/>
        <w:rPr>
          <w:rFonts w:ascii="Times New Roman" w:hAnsi="Times New Roman" w:cs="Times New Roman"/>
          <w:lang w:val="en-US"/>
        </w:rPr>
      </w:pPr>
      <w:r w:rsidRPr="00353074">
        <w:rPr>
          <w:lang w:val="en-US"/>
        </w:rPr>
        <w:fldChar w:fldCharType="begin"/>
      </w:r>
      <w:r w:rsidR="008D7576" w:rsidRPr="00353074">
        <w:rPr>
          <w:lang w:val="en-US"/>
        </w:rPr>
        <w:instrText xml:space="preserve"> ADDIN ZOTERO_BIBL {"uncited":[],"omitted":[],"custom":[]} CSL_BIBLIOGRAPHY </w:instrText>
      </w:r>
      <w:r w:rsidRPr="00353074">
        <w:rPr>
          <w:lang w:val="en-US"/>
        </w:rPr>
        <w:fldChar w:fldCharType="separate"/>
      </w:r>
      <w:r w:rsidR="00353074" w:rsidRPr="00353074">
        <w:rPr>
          <w:rFonts w:ascii="Times New Roman" w:hAnsi="Times New Roman" w:cs="Times New Roman"/>
          <w:lang w:val="en-US"/>
        </w:rPr>
        <w:t>1.</w:t>
      </w:r>
      <w:r w:rsidR="00353074" w:rsidRPr="00353074">
        <w:rPr>
          <w:rFonts w:ascii="Times New Roman" w:hAnsi="Times New Roman" w:cs="Times New Roman"/>
          <w:lang w:val="en-US"/>
        </w:rPr>
        <w:tab/>
        <w:t xml:space="preserve">Singer, J. D. &amp; Willett, J. B. </w:t>
      </w:r>
      <w:r w:rsidR="00353074" w:rsidRPr="00353074">
        <w:rPr>
          <w:rFonts w:ascii="Times New Roman" w:hAnsi="Times New Roman" w:cs="Times New Roman"/>
          <w:i/>
          <w:iCs/>
          <w:lang w:val="en-US"/>
        </w:rPr>
        <w:t>Applied Longitudinal Data Analysis: Modeling Change and Event Occurrence</w:t>
      </w:r>
      <w:r w:rsidR="00353074" w:rsidRPr="00353074">
        <w:rPr>
          <w:rFonts w:ascii="Times New Roman" w:hAnsi="Times New Roman" w:cs="Times New Roman"/>
          <w:lang w:val="en-US"/>
        </w:rPr>
        <w:t>. (Oxford University Press, 2003).</w:t>
      </w:r>
    </w:p>
    <w:p w14:paraId="5C912854" w14:textId="77777777" w:rsidR="00353074" w:rsidRPr="00353074" w:rsidRDefault="00353074" w:rsidP="00353074">
      <w:pPr>
        <w:pStyle w:val="Bibliography"/>
        <w:spacing w:line="240" w:lineRule="auto"/>
        <w:rPr>
          <w:rFonts w:ascii="Times New Roman" w:hAnsi="Times New Roman" w:cs="Times New Roman"/>
          <w:lang w:val="en-US"/>
        </w:rPr>
      </w:pPr>
      <w:r w:rsidRPr="00353074">
        <w:rPr>
          <w:rFonts w:ascii="Times New Roman" w:hAnsi="Times New Roman" w:cs="Times New Roman"/>
          <w:lang w:val="en-US"/>
        </w:rPr>
        <w:t>2.</w:t>
      </w:r>
      <w:r w:rsidRPr="00353074">
        <w:rPr>
          <w:rFonts w:ascii="Times New Roman" w:hAnsi="Times New Roman" w:cs="Times New Roman"/>
          <w:lang w:val="en-US"/>
        </w:rPr>
        <w:tab/>
        <w:t xml:space="preserve">Karlson, K. B., Holm, A. &amp; Breen, R. Comparing Regression Coefficients Between Same-sample Nested Models Using Logit and Probit: A New Method. </w:t>
      </w:r>
      <w:r w:rsidRPr="00353074">
        <w:rPr>
          <w:rFonts w:ascii="Times New Roman" w:hAnsi="Times New Roman" w:cs="Times New Roman"/>
          <w:i/>
          <w:iCs/>
          <w:lang w:val="en-US"/>
        </w:rPr>
        <w:t>Sociological Methodology</w:t>
      </w:r>
      <w:r w:rsidRPr="00353074">
        <w:rPr>
          <w:rFonts w:ascii="Times New Roman" w:hAnsi="Times New Roman" w:cs="Times New Roman"/>
          <w:lang w:val="en-US"/>
        </w:rPr>
        <w:t xml:space="preserve"> </w:t>
      </w:r>
      <w:r w:rsidRPr="00353074">
        <w:rPr>
          <w:rFonts w:ascii="Times New Roman" w:hAnsi="Times New Roman" w:cs="Times New Roman"/>
          <w:b/>
          <w:bCs/>
          <w:lang w:val="en-US"/>
        </w:rPr>
        <w:t>42</w:t>
      </w:r>
      <w:r w:rsidRPr="00353074">
        <w:rPr>
          <w:rFonts w:ascii="Times New Roman" w:hAnsi="Times New Roman" w:cs="Times New Roman"/>
          <w:lang w:val="en-US"/>
        </w:rPr>
        <w:t>, 286–313 (2012).</w:t>
      </w:r>
    </w:p>
    <w:p w14:paraId="47C4FE33" w14:textId="77777777" w:rsidR="00353074" w:rsidRPr="00353074" w:rsidRDefault="00353074" w:rsidP="00353074">
      <w:pPr>
        <w:pStyle w:val="Bibliography"/>
        <w:spacing w:line="240" w:lineRule="auto"/>
        <w:rPr>
          <w:rFonts w:ascii="Times New Roman" w:hAnsi="Times New Roman" w:cs="Times New Roman"/>
          <w:lang w:val="en-US"/>
        </w:rPr>
      </w:pPr>
      <w:r w:rsidRPr="00353074">
        <w:rPr>
          <w:rFonts w:ascii="Times New Roman" w:hAnsi="Times New Roman" w:cs="Times New Roman"/>
          <w:lang w:val="en-US"/>
        </w:rPr>
        <w:t>3.</w:t>
      </w:r>
      <w:r w:rsidRPr="00353074">
        <w:rPr>
          <w:rFonts w:ascii="Times New Roman" w:hAnsi="Times New Roman" w:cs="Times New Roman"/>
          <w:lang w:val="en-US"/>
        </w:rPr>
        <w:tab/>
        <w:t xml:space="preserve">Andersson, G., Persson, L. &amp; </w:t>
      </w:r>
      <w:proofErr w:type="spellStart"/>
      <w:r w:rsidRPr="00353074">
        <w:rPr>
          <w:rFonts w:ascii="Times New Roman" w:hAnsi="Times New Roman" w:cs="Times New Roman"/>
          <w:lang w:val="en-US"/>
        </w:rPr>
        <w:t>Obućina</w:t>
      </w:r>
      <w:proofErr w:type="spellEnd"/>
      <w:r w:rsidRPr="00353074">
        <w:rPr>
          <w:rFonts w:ascii="Times New Roman" w:hAnsi="Times New Roman" w:cs="Times New Roman"/>
          <w:lang w:val="en-US"/>
        </w:rPr>
        <w:t xml:space="preserve">, O. Depressed fertility among descendants of immigrants in Sweden. </w:t>
      </w:r>
      <w:r w:rsidRPr="00353074">
        <w:rPr>
          <w:rFonts w:ascii="Times New Roman" w:hAnsi="Times New Roman" w:cs="Times New Roman"/>
          <w:i/>
          <w:iCs/>
          <w:lang w:val="en-US"/>
        </w:rPr>
        <w:t>Demographic Research</w:t>
      </w:r>
      <w:r w:rsidRPr="00353074">
        <w:rPr>
          <w:rFonts w:ascii="Times New Roman" w:hAnsi="Times New Roman" w:cs="Times New Roman"/>
          <w:lang w:val="en-US"/>
        </w:rPr>
        <w:t xml:space="preserve"> </w:t>
      </w:r>
      <w:r w:rsidRPr="00353074">
        <w:rPr>
          <w:rFonts w:ascii="Times New Roman" w:hAnsi="Times New Roman" w:cs="Times New Roman"/>
          <w:b/>
          <w:bCs/>
          <w:lang w:val="en-US"/>
        </w:rPr>
        <w:t>36</w:t>
      </w:r>
      <w:r w:rsidRPr="00353074">
        <w:rPr>
          <w:rFonts w:ascii="Times New Roman" w:hAnsi="Times New Roman" w:cs="Times New Roman"/>
          <w:lang w:val="en-US"/>
        </w:rPr>
        <w:t>, 1149–1184 (2017).</w:t>
      </w:r>
    </w:p>
    <w:p w14:paraId="6B58C2A4" w14:textId="77777777" w:rsidR="00353074" w:rsidRPr="00353074" w:rsidRDefault="00353074" w:rsidP="00353074">
      <w:pPr>
        <w:pStyle w:val="Bibliography"/>
        <w:spacing w:line="240" w:lineRule="auto"/>
        <w:rPr>
          <w:rFonts w:ascii="Times New Roman" w:hAnsi="Times New Roman" w:cs="Times New Roman"/>
          <w:lang w:val="en-US"/>
        </w:rPr>
      </w:pPr>
      <w:r w:rsidRPr="00353074">
        <w:rPr>
          <w:rFonts w:ascii="Times New Roman" w:hAnsi="Times New Roman" w:cs="Times New Roman"/>
          <w:lang w:val="en-US"/>
        </w:rPr>
        <w:t>4.</w:t>
      </w:r>
      <w:r w:rsidRPr="00353074">
        <w:rPr>
          <w:rFonts w:ascii="Times New Roman" w:hAnsi="Times New Roman" w:cs="Times New Roman"/>
          <w:lang w:val="en-US"/>
        </w:rPr>
        <w:tab/>
        <w:t xml:space="preserve">Delaporte, I. &amp; Kulu, H. Interaction between childbearing and partnership trajectories among immigrants and their descendants in France: An application of multichannel sequence analysis. </w:t>
      </w:r>
      <w:r w:rsidRPr="00353074">
        <w:rPr>
          <w:rFonts w:ascii="Times New Roman" w:hAnsi="Times New Roman" w:cs="Times New Roman"/>
          <w:i/>
          <w:iCs/>
          <w:lang w:val="en-US"/>
        </w:rPr>
        <w:t>Population Studies</w:t>
      </w:r>
      <w:r w:rsidRPr="00353074">
        <w:rPr>
          <w:rFonts w:ascii="Times New Roman" w:hAnsi="Times New Roman" w:cs="Times New Roman"/>
          <w:lang w:val="en-US"/>
        </w:rPr>
        <w:t xml:space="preserve"> </w:t>
      </w:r>
      <w:r w:rsidRPr="00353074">
        <w:rPr>
          <w:rFonts w:ascii="Times New Roman" w:hAnsi="Times New Roman" w:cs="Times New Roman"/>
          <w:b/>
          <w:bCs/>
          <w:lang w:val="en-US"/>
        </w:rPr>
        <w:t>77</w:t>
      </w:r>
      <w:r w:rsidRPr="00353074">
        <w:rPr>
          <w:rFonts w:ascii="Times New Roman" w:hAnsi="Times New Roman" w:cs="Times New Roman"/>
          <w:lang w:val="en-US"/>
        </w:rPr>
        <w:t>, 55–70 (2023).</w:t>
      </w:r>
    </w:p>
    <w:p w14:paraId="472FFECB" w14:textId="77777777" w:rsidR="00353074" w:rsidRPr="00353074" w:rsidRDefault="00353074" w:rsidP="00353074">
      <w:pPr>
        <w:pStyle w:val="Bibliography"/>
        <w:spacing w:line="240" w:lineRule="auto"/>
        <w:rPr>
          <w:rFonts w:ascii="Times New Roman" w:hAnsi="Times New Roman" w:cs="Times New Roman"/>
          <w:lang w:val="en-US"/>
        </w:rPr>
      </w:pPr>
      <w:r w:rsidRPr="00353074">
        <w:rPr>
          <w:rFonts w:ascii="Times New Roman" w:hAnsi="Times New Roman" w:cs="Times New Roman"/>
          <w:lang w:val="en-US"/>
        </w:rPr>
        <w:t>5.</w:t>
      </w:r>
      <w:r w:rsidRPr="00353074">
        <w:rPr>
          <w:rFonts w:ascii="Times New Roman" w:hAnsi="Times New Roman" w:cs="Times New Roman"/>
          <w:lang w:val="en-US"/>
        </w:rPr>
        <w:tab/>
        <w:t xml:space="preserve">Dupray, A. &amp; </w:t>
      </w:r>
      <w:proofErr w:type="spellStart"/>
      <w:r w:rsidRPr="00353074">
        <w:rPr>
          <w:rFonts w:ascii="Times New Roman" w:hAnsi="Times New Roman" w:cs="Times New Roman"/>
          <w:lang w:val="en-US"/>
        </w:rPr>
        <w:t>Pailhé</w:t>
      </w:r>
      <w:proofErr w:type="spellEnd"/>
      <w:r w:rsidRPr="00353074">
        <w:rPr>
          <w:rFonts w:ascii="Times New Roman" w:hAnsi="Times New Roman" w:cs="Times New Roman"/>
          <w:lang w:val="en-US"/>
        </w:rPr>
        <w:t xml:space="preserve">, A. Does employment uncertainty particularly impact fertility of children of North African immigrants in France? A gender perspective. </w:t>
      </w:r>
      <w:r w:rsidRPr="00353074">
        <w:rPr>
          <w:rFonts w:ascii="Times New Roman" w:hAnsi="Times New Roman" w:cs="Times New Roman"/>
          <w:i/>
          <w:iCs/>
          <w:lang w:val="en-US"/>
        </w:rPr>
        <w:t>Journal of Ethnic and Migration Studies</w:t>
      </w:r>
      <w:r w:rsidRPr="00353074">
        <w:rPr>
          <w:rFonts w:ascii="Times New Roman" w:hAnsi="Times New Roman" w:cs="Times New Roman"/>
          <w:lang w:val="en-US"/>
        </w:rPr>
        <w:t xml:space="preserve"> </w:t>
      </w:r>
      <w:r w:rsidRPr="00353074">
        <w:rPr>
          <w:rFonts w:ascii="Times New Roman" w:hAnsi="Times New Roman" w:cs="Times New Roman"/>
          <w:b/>
          <w:bCs/>
          <w:lang w:val="en-US"/>
        </w:rPr>
        <w:t>44</w:t>
      </w:r>
      <w:r w:rsidRPr="00353074">
        <w:rPr>
          <w:rFonts w:ascii="Times New Roman" w:hAnsi="Times New Roman" w:cs="Times New Roman"/>
          <w:lang w:val="en-US"/>
        </w:rPr>
        <w:t>, 401–424 (2018).</w:t>
      </w:r>
    </w:p>
    <w:p w14:paraId="174E9D45" w14:textId="77777777" w:rsidR="00353074" w:rsidRPr="00353074" w:rsidRDefault="00353074" w:rsidP="00353074">
      <w:pPr>
        <w:pStyle w:val="Bibliography"/>
        <w:spacing w:line="240" w:lineRule="auto"/>
        <w:rPr>
          <w:rFonts w:ascii="Times New Roman" w:hAnsi="Times New Roman" w:cs="Times New Roman"/>
        </w:rPr>
      </w:pPr>
      <w:r w:rsidRPr="00353074">
        <w:rPr>
          <w:rFonts w:ascii="Times New Roman" w:hAnsi="Times New Roman" w:cs="Times New Roman"/>
          <w:lang w:val="en-US"/>
        </w:rPr>
        <w:t>6.</w:t>
      </w:r>
      <w:r w:rsidRPr="00353074">
        <w:rPr>
          <w:rFonts w:ascii="Times New Roman" w:hAnsi="Times New Roman" w:cs="Times New Roman"/>
          <w:lang w:val="en-US"/>
        </w:rPr>
        <w:tab/>
        <w:t xml:space="preserve">González-Ferrer, A., Castro Martín, T., Kraus, E. &amp; Eremenko, T. Childbearing patterns among immigrant women and their daughters in Spain: Over-adaptation or structural constraints. </w:t>
      </w:r>
      <w:r w:rsidRPr="00353074">
        <w:rPr>
          <w:rFonts w:ascii="Times New Roman" w:hAnsi="Times New Roman" w:cs="Times New Roman"/>
          <w:i/>
          <w:iCs/>
        </w:rPr>
        <w:t>Demographic Research</w:t>
      </w:r>
      <w:r w:rsidRPr="00353074">
        <w:rPr>
          <w:rFonts w:ascii="Times New Roman" w:hAnsi="Times New Roman" w:cs="Times New Roman"/>
        </w:rPr>
        <w:t xml:space="preserve"> </w:t>
      </w:r>
      <w:r w:rsidRPr="00353074">
        <w:rPr>
          <w:rFonts w:ascii="Times New Roman" w:hAnsi="Times New Roman" w:cs="Times New Roman"/>
          <w:b/>
          <w:bCs/>
        </w:rPr>
        <w:t>37</w:t>
      </w:r>
      <w:r w:rsidRPr="00353074">
        <w:rPr>
          <w:rFonts w:ascii="Times New Roman" w:hAnsi="Times New Roman" w:cs="Times New Roman"/>
        </w:rPr>
        <w:t>, 599–634 (2017).</w:t>
      </w:r>
    </w:p>
    <w:p w14:paraId="7C8ECDC0" w14:textId="5B6181D8" w:rsidR="00013583" w:rsidRDefault="00013583" w:rsidP="00353074">
      <w:pPr>
        <w:spacing w:line="240" w:lineRule="auto"/>
        <w:rPr>
          <w:rFonts w:ascii="Times New Roman" w:hAnsi="Times New Roman" w:cs="Times New Roman"/>
          <w:sz w:val="24"/>
          <w:szCs w:val="24"/>
          <w:lang w:val="en-US"/>
        </w:rPr>
        <w:sectPr w:rsidR="00013583" w:rsidSect="00200598">
          <w:pgSz w:w="11906" w:h="16838"/>
          <w:pgMar w:top="1440" w:right="1440" w:bottom="1440" w:left="1440" w:header="706" w:footer="706" w:gutter="0"/>
          <w:cols w:space="708"/>
          <w:docGrid w:linePitch="360"/>
        </w:sectPr>
      </w:pPr>
      <w:r w:rsidRPr="00353074">
        <w:rPr>
          <w:rFonts w:ascii="Times New Roman" w:hAnsi="Times New Roman" w:cs="Times New Roman"/>
          <w:lang w:val="en-US"/>
        </w:rPr>
        <w:fldChar w:fldCharType="end"/>
      </w:r>
    </w:p>
    <w:p w14:paraId="7F1F1671" w14:textId="215117F9" w:rsidR="00200598" w:rsidRPr="00200598" w:rsidRDefault="00200598" w:rsidP="005C055B">
      <w:pPr>
        <w:spacing w:line="240" w:lineRule="auto"/>
        <w:jc w:val="center"/>
        <w:rPr>
          <w:rFonts w:ascii="Times New Roman" w:hAnsi="Times New Roman" w:cs="Times New Roman"/>
          <w:b/>
          <w:bCs/>
          <w:sz w:val="24"/>
          <w:szCs w:val="24"/>
          <w:lang w:val="en-US"/>
        </w:rPr>
      </w:pPr>
      <w:r w:rsidRPr="00200598">
        <w:rPr>
          <w:rFonts w:ascii="Times New Roman" w:hAnsi="Times New Roman" w:cs="Times New Roman"/>
          <w:b/>
          <w:bCs/>
          <w:sz w:val="24"/>
          <w:szCs w:val="24"/>
          <w:lang w:val="en-US"/>
        </w:rPr>
        <w:lastRenderedPageBreak/>
        <w:t>Figure 1. Marginal effects by age (standardized) and group for men</w:t>
      </w:r>
    </w:p>
    <w:p w14:paraId="66ACDBA5" w14:textId="77777777" w:rsidR="00200598" w:rsidRDefault="00200598" w:rsidP="005C055B">
      <w:pPr>
        <w:spacing w:line="24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36FDEB2C" wp14:editId="4633B64C">
            <wp:extent cx="8900160" cy="4820920"/>
            <wp:effectExtent l="0" t="0" r="0" b="0"/>
            <wp:docPr id="569337922" name="Picture 7" descr="A group of graphs showing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37922" name="Picture 7" descr="A group of graphs showing different colo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00160" cy="4820920"/>
                    </a:xfrm>
                    <a:prstGeom prst="rect">
                      <a:avLst/>
                    </a:prstGeom>
                  </pic:spPr>
                </pic:pic>
              </a:graphicData>
            </a:graphic>
          </wp:inline>
        </w:drawing>
      </w:r>
    </w:p>
    <w:p w14:paraId="107326AE" w14:textId="77777777" w:rsidR="00200598" w:rsidRDefault="00200598" w:rsidP="005C055B">
      <w:pPr>
        <w:spacing w:after="16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C9F9D9B" w14:textId="6AD51265" w:rsidR="00200598" w:rsidRPr="007F026E" w:rsidRDefault="00200598" w:rsidP="005C055B">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Figure 2.</w:t>
      </w:r>
      <w:r w:rsidRPr="007F026E">
        <w:rPr>
          <w:rFonts w:ascii="Times New Roman" w:hAnsi="Times New Roman" w:cs="Times New Roman"/>
          <w:b/>
          <w:bCs/>
          <w:sz w:val="24"/>
          <w:szCs w:val="24"/>
          <w:lang w:val="en-US"/>
        </w:rPr>
        <w:t xml:space="preserve"> Indirect effects via education and partnership status (KHB method) for men.</w:t>
      </w:r>
    </w:p>
    <w:p w14:paraId="026E0639" w14:textId="77777777" w:rsidR="00200598" w:rsidRPr="009D08E9" w:rsidRDefault="00200598" w:rsidP="005C055B">
      <w:pPr>
        <w:spacing w:line="24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48E56E1B" wp14:editId="24BDDC40">
            <wp:extent cx="8900160" cy="5340350"/>
            <wp:effectExtent l="0" t="0" r="0" b="0"/>
            <wp:docPr id="1851467946"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67946" name="Picture 8" descr="A screenshot of a computer scree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00160" cy="5340350"/>
                    </a:xfrm>
                    <a:prstGeom prst="rect">
                      <a:avLst/>
                    </a:prstGeom>
                  </pic:spPr>
                </pic:pic>
              </a:graphicData>
            </a:graphic>
          </wp:inline>
        </w:drawing>
      </w:r>
    </w:p>
    <w:p w14:paraId="3A5C39B8" w14:textId="02744CF1" w:rsidR="00200598" w:rsidRPr="00200598" w:rsidRDefault="00200598" w:rsidP="005C055B">
      <w:pPr>
        <w:spacing w:line="240" w:lineRule="auto"/>
        <w:jc w:val="center"/>
        <w:rPr>
          <w:lang w:val="en-US"/>
        </w:rPr>
      </w:pPr>
      <w:r w:rsidRPr="007F026E">
        <w:rPr>
          <w:rFonts w:ascii="Times New Roman" w:hAnsi="Times New Roman" w:cs="Times New Roman"/>
          <w:sz w:val="24"/>
          <w:szCs w:val="24"/>
          <w:lang w:val="en-US"/>
        </w:rPr>
        <w:t xml:space="preserve">Caption: </w:t>
      </w:r>
      <w:r>
        <w:rPr>
          <w:rFonts w:ascii="Times New Roman" w:hAnsi="Times New Roman" w:cs="Times New Roman"/>
          <w:sz w:val="24"/>
          <w:szCs w:val="24"/>
          <w:lang w:val="en-US"/>
        </w:rPr>
        <w:t xml:space="preserve">Error </w:t>
      </w:r>
      <w:r w:rsidRPr="007F026E">
        <w:rPr>
          <w:rFonts w:ascii="Times New Roman" w:hAnsi="Times New Roman" w:cs="Times New Roman"/>
          <w:sz w:val="24"/>
          <w:szCs w:val="24"/>
          <w:lang w:val="en-US"/>
        </w:rPr>
        <w:t>lines represent 95% confidence intervals</w:t>
      </w:r>
    </w:p>
    <w:sectPr w:rsidR="00200598" w:rsidRPr="00200598" w:rsidSect="0020059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D0824" w14:textId="77777777" w:rsidR="00DA13D1" w:rsidRDefault="00DA13D1" w:rsidP="00E263AA">
      <w:pPr>
        <w:spacing w:line="240" w:lineRule="auto"/>
      </w:pPr>
      <w:r>
        <w:separator/>
      </w:r>
    </w:p>
  </w:endnote>
  <w:endnote w:type="continuationSeparator" w:id="0">
    <w:p w14:paraId="127DF3F5" w14:textId="77777777" w:rsidR="00DA13D1" w:rsidRDefault="00DA13D1" w:rsidP="00E263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07457" w14:textId="77777777" w:rsidR="00DA13D1" w:rsidRDefault="00DA13D1" w:rsidP="00E263AA">
      <w:pPr>
        <w:spacing w:line="240" w:lineRule="auto"/>
      </w:pPr>
      <w:r>
        <w:separator/>
      </w:r>
    </w:p>
  </w:footnote>
  <w:footnote w:type="continuationSeparator" w:id="0">
    <w:p w14:paraId="5AFA5531" w14:textId="77777777" w:rsidR="00DA13D1" w:rsidRDefault="00DA13D1" w:rsidP="00E263A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98"/>
    <w:rsid w:val="00005532"/>
    <w:rsid w:val="00013583"/>
    <w:rsid w:val="000341D6"/>
    <w:rsid w:val="00072F15"/>
    <w:rsid w:val="000D2121"/>
    <w:rsid w:val="00200598"/>
    <w:rsid w:val="00260CAD"/>
    <w:rsid w:val="0028342B"/>
    <w:rsid w:val="002860E5"/>
    <w:rsid w:val="00353074"/>
    <w:rsid w:val="004B7995"/>
    <w:rsid w:val="00590B70"/>
    <w:rsid w:val="005C055B"/>
    <w:rsid w:val="005E340B"/>
    <w:rsid w:val="008D7576"/>
    <w:rsid w:val="009C21A9"/>
    <w:rsid w:val="009C24EA"/>
    <w:rsid w:val="00A00190"/>
    <w:rsid w:val="00BA1A4E"/>
    <w:rsid w:val="00D34DD4"/>
    <w:rsid w:val="00DA13D1"/>
    <w:rsid w:val="00E263AA"/>
    <w:rsid w:val="00E6200D"/>
    <w:rsid w:val="00ED6E43"/>
    <w:rsid w:val="00EF74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9DCA"/>
  <w15:chartTrackingRefBased/>
  <w15:docId w15:val="{71A0763C-5BEA-4EA0-8D43-70555EF7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line="4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598"/>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598"/>
    <w:rPr>
      <w:color w:val="0563C1" w:themeColor="hyperlink"/>
      <w:u w:val="single"/>
    </w:rPr>
  </w:style>
  <w:style w:type="paragraph" w:styleId="Header">
    <w:name w:val="header"/>
    <w:basedOn w:val="Normal"/>
    <w:link w:val="HeaderChar"/>
    <w:uiPriority w:val="99"/>
    <w:unhideWhenUsed/>
    <w:rsid w:val="00E263AA"/>
    <w:pPr>
      <w:tabs>
        <w:tab w:val="center" w:pos="4513"/>
        <w:tab w:val="right" w:pos="9026"/>
      </w:tabs>
      <w:spacing w:line="240" w:lineRule="auto"/>
    </w:pPr>
  </w:style>
  <w:style w:type="character" w:customStyle="1" w:styleId="HeaderChar">
    <w:name w:val="Header Char"/>
    <w:basedOn w:val="DefaultParagraphFont"/>
    <w:link w:val="Header"/>
    <w:uiPriority w:val="99"/>
    <w:rsid w:val="00E263AA"/>
    <w:rPr>
      <w:lang w:val="fi-FI"/>
    </w:rPr>
  </w:style>
  <w:style w:type="paragraph" w:styleId="Footer">
    <w:name w:val="footer"/>
    <w:basedOn w:val="Normal"/>
    <w:link w:val="FooterChar"/>
    <w:uiPriority w:val="99"/>
    <w:unhideWhenUsed/>
    <w:rsid w:val="00E263AA"/>
    <w:pPr>
      <w:tabs>
        <w:tab w:val="center" w:pos="4513"/>
        <w:tab w:val="right" w:pos="9026"/>
      </w:tabs>
      <w:spacing w:line="240" w:lineRule="auto"/>
    </w:pPr>
  </w:style>
  <w:style w:type="character" w:customStyle="1" w:styleId="FooterChar">
    <w:name w:val="Footer Char"/>
    <w:basedOn w:val="DefaultParagraphFont"/>
    <w:link w:val="Footer"/>
    <w:uiPriority w:val="99"/>
    <w:rsid w:val="00E263AA"/>
    <w:rPr>
      <w:lang w:val="fi-FI"/>
    </w:rPr>
  </w:style>
  <w:style w:type="paragraph" w:styleId="Bibliography">
    <w:name w:val="Bibliography"/>
    <w:basedOn w:val="Normal"/>
    <w:next w:val="Normal"/>
    <w:uiPriority w:val="37"/>
    <w:unhideWhenUsed/>
    <w:rsid w:val="00013583"/>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2461</Words>
  <Characters>14030</Characters>
  <Application>Microsoft Office Word</Application>
  <DocSecurity>0</DocSecurity>
  <Lines>116</Lines>
  <Paragraphs>32</Paragraphs>
  <ScaleCrop>false</ScaleCrop>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Estevez</dc:creator>
  <cp:keywords/>
  <dc:description/>
  <cp:lastModifiedBy>Jose Luis Estevez</cp:lastModifiedBy>
  <cp:revision>26</cp:revision>
  <dcterms:created xsi:type="dcterms:W3CDTF">2024-02-05T13:05:00Z</dcterms:created>
  <dcterms:modified xsi:type="dcterms:W3CDTF">2024-02-05T14:34:00Z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id="NivwFIYs"/&gt;&lt;style id="http://www.zotero.org/styles/nature" hasBibliography="1" bibliographyStyleHasBeenSet="1"/&gt;&lt;prefs&gt;&lt;pref name="fieldType" value="Field"/&gt;&lt;/prefs&gt;&lt;/data&gt;</vt:lpwstr>
  </property>
</Properties>
</file>